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1.005187.000.00.00.H47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3677/QĐ-UBND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 (TTHC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(1) Ủy ban nhân dân cấp huyện giao cho cơ quan có thẩm quyền kiểm tra, xác định mức độ ô nhiễm môi trường, sạt lở, sụt lún, bị ảnh hưởng bởi hiện tượng thiên tai khác đe dọa tính mạng con người.</w:t>
      </w:r>
    </w:p>
    <w:p>
      <w:pPr>
        <w:spacing w:after="0" w:before="0" w:lineRule="auto" w:line="276"/>
        <w:jc w:val="both"/>
      </w:pPr>
      <w:r>
        <w:rPr>
          <w:rFonts w:ascii="Times New Roman" w:hAnsi="Times New Roman" w:cs="Times New Roman" w:eastAsia="Times New Roman"/>
          <w:b w:val="false"/>
          <w:sz w:val="26"/>
        </w:rPr>
        <w:t xml:space="preserve"> (2) Cơ quan có thẩm quyền có văn bản xác định mức độ ô nhiễm môi trường, sạt lở, sụt lún, bị ảnh hưởng bởi hiện tượng thiên tai khác đe dọa tính mạng con người mà cần phải thu hồi đất.</w:t>
      </w:r>
    </w:p>
    <w:p>
      <w:pPr>
        <w:spacing w:after="0" w:before="0" w:lineRule="auto" w:line="276"/>
        <w:jc w:val="both"/>
      </w:pPr>
      <w:r>
        <w:rPr>
          <w:rFonts w:ascii="Times New Roman" w:hAnsi="Times New Roman" w:cs="Times New Roman" w:eastAsia="Times New Roman"/>
          <w:b w:val="false"/>
          <w:sz w:val="26"/>
        </w:rPr>
        <w:t xml:space="preserve"> (3) Phòng Tài nguyên và Môi trường có trách nhiệm thẩm tra, xác minh thực địa trong trường hợp xét thấy cần thiết.</w:t>
      </w:r>
    </w:p>
    <w:p>
      <w:pPr>
        <w:spacing w:after="0" w:before="0" w:lineRule="auto" w:line="276"/>
        <w:jc w:val="both"/>
      </w:pPr>
      <w:r>
        <w:rPr>
          <w:rFonts w:ascii="Times New Roman" w:hAnsi="Times New Roman" w:cs="Times New Roman" w:eastAsia="Times New Roman"/>
          <w:b w:val="false"/>
          <w:sz w:val="26"/>
        </w:rPr>
        <w:t xml:space="preserve"> (4) Phòng Tài nguyên và Môi trường trình Ủy ban nhân dân cùng cấp quyết định thu hồi đất.</w:t>
      </w:r>
    </w:p>
    <w:p>
      <w:pPr>
        <w:spacing w:after="0" w:before="0" w:lineRule="auto" w:line="276"/>
        <w:jc w:val="both"/>
      </w:pPr>
      <w:r>
        <w:rPr>
          <w:rFonts w:ascii="Times New Roman" w:hAnsi="Times New Roman" w:cs="Times New Roman" w:eastAsia="Times New Roman"/>
          <w:b w:val="false"/>
          <w:sz w:val="26"/>
        </w:rPr>
        <w:t xml:space="preserve"> (5) Phòng Tài nguyên và Môi trường tổ chức thu hồi đất trên thực địa và bàn giao cho Tổ chức phát triển quỹ đất hoặc Ủy ban nhân dân cấp xã quản lý; trường hợp phải tổ chức cưỡng chế thu hồi đất thì thực hiện như sau:
a) Sau khi có quyết định thu hồi đất, Phòng Tài nguyên và Môi trường có trách nhiệm phối hợp với Ủy ban nhân dân cấp xã và Ủy ban Mặt trận Tổ quốc Việt Nam cấp xã vận động, thuyết phục để người có đất thu hồi bàn giao đất;
b) Sau khi vận động, thuyết phục mà người có đất thu hồi không thực hiện quyết định thu hồi đất thì Phòng Tài nguyên và Môi trường trình Ủy ban nhân dân cùng cấp ban hành quyết định cưỡng chế thực hiện quyết định thu hồi đất;
c) Tổ chức được giao thực hiện cưỡng chế có trách nhiệm xây dựng kế hoạch cưỡng chế trình Ủy ban nhân dân cấp đã ban hành quyết định cưỡng chế phê duyệt; 
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
đ)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pPr>
        <w:spacing w:after="0" w:before="0" w:lineRule="auto" w:line="276"/>
        <w:jc w:val="both"/>
      </w:pPr>
      <w:r>
        <w:rPr>
          <w:rFonts w:ascii="Times New Roman" w:hAnsi="Times New Roman" w:cs="Times New Roman" w:eastAsia="Times New Roman"/>
          <w:b w:val="false"/>
          <w:sz w:val="26"/>
        </w:rPr>
        <w:t xml:space="preserve"> (6) Phòng Tài nguyên và Môi trường chỉ đạo cập nhật, chỉnh lý cơ sở dữ liệu đất đai, hồ sơ địa chính, thu hồi Giấy chứng nhận quyền sở hữu nhà ở và quyền sử dụng đất ở hoặc Giấy chứng nhận quyền sử dụng đất, quyền sở hữu nhà ở và tài sản khác gắn liền với đất hoặc thông báo hủy Giấy chứng nhận quyền sở hữu nhà ở và quyền sử dụng đất ở hoặc Giấy chứng nhận quyền sử dụng đất, quyền sở hữu nhà ở và tài sản khác gắn liền với đất đối với trường hợp không thu hồi được Giấy chứng nhận quyền sở hữu nhà ở và quyền sử dụng đất ở hoặc Giấy chứng nhận quyền sử dụng đất, quyền sở hữu nhà ở và tài sản khác gắn liền với đất.</w:t>
      </w:r>
    </w:p>
    <w:p>
      <w:pPr>
        <w:spacing w:after="0" w:before="0" w:lineRule="auto" w:line="276"/>
        <w:jc w:val="both"/>
      </w:pPr>
      <w:r>
        <w:rPr>
          <w:rFonts w:ascii="Times New Roman" w:hAnsi="Times New Roman" w:cs="Times New Roman" w:eastAsia="Times New Roman"/>
          <w:b w:val="false"/>
          <w:sz w:val="26"/>
        </w:rPr>
        <w:t xml:space="preserve"> (7) Cơ quan có thẩm quyền thực hiện việc bố trí nơi ở tạm và thực hiện tái định cư đối với người phải cưỡng chế di dời.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có quy định cụ thể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Văn bản của cơ quan có thẩm quyền xác định mức độ ô nhiễm môi trường, sạt lở, sụt lún, bị ảnh hưởng bởi hiện tượng thiên tai khác đe dọa tính mạng con người;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Giấy chứng nhận quyền sử dụng đất tạm thời được cơ quan nhà nước có thẩm quyền cấp hoặc có tên trong Sổ đăng ký ruộng đất, Sổ địa chính trước ngày 15 tháng 10 năm 1993;</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Giấy tờ hợp pháp về thừa kế, tặng cho quyền sử dụng đất hoặc tài sản gắn liền với đất; giấy tờ giao nhà tình nghĩa, nhà tình thương gắn liền với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 Giấy tờ chuyển nhượng quyền sử dụng đất, mua bán nhà ở gắn liền với đất ở trước ngày 15 tháng 10 năm 1993 được Ủy ban nhân dân cấp xã xác nhận là đã sử dụng trước ngày 15 tháng 10 năm 1993;</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 Giấy tờ thanh lý, hóa giá nhà ở gắn liền với đất ở; giấy tờ mua nhà ở thuộc sở hữu nhà nước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e) Giấy tờ về quyền sử dụng đất do cơ quan có thẩm quyền thuộc chế độ cũ cấp cho người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 Một trong các giấy tờ lập trước ngày 15 tháng 10 năm 1993 có tên người sử dụng đất, bao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Sổ mục kê đất, sổ kiến điền lập trước ngày 18 tháng 12 năm 1980.</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xét duyệt của Hội đồng đăng ký ruộng đất cấp xã xác định người đang sử dụng đất là hợp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tổng hợp các trường hợp sử dụng đất hợp pháp do Ủy ban nhân dân cấp xã hoặc Hội đồng đăng ký ruộng đất cấp xã hoặc cơ quan quản lý đất đai cấp huyện, cấp tỉnh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Đơn xin đăng ký quyền sử dụng ruộng đất đối với trường hợp không có biên bản xét duyệt và Bản tổng hợp các trường hợp sử dụng đất hợp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Dự án hoặc danh sách hoặc văn bản về việc di dân đi xây dựng khu kinh tế mới, di dân tái định cư được Ủy ban nhân dân cấp huyện, cấp tỉnh hoặc cơ quan nhà nước có thẩm quyền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của nông trường, lâm trường quốc doanh về việc giao đất cho người lao động trong nông trường, lâm trường để làm nhà ở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l) Hộ gia đình, cá nhân đang sử dụng đất có quyết định giao đất, cho thuê đất của cơ quan nhà nước có thẩm quyền từ ngày 15/10/1993 đến ngày 01/7/2014.</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m) Giấy xác nhận là đất sử dụng chung cho cộng đồng đối với trường hợp cộng đồng dân cư đang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Biên bản xác minh thực địa do Phòng Tài nguyên và Môi trường lập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Trích lục bản đồ địa chính thửa đất hoặc trích đo địa chính thửa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Tờ trình của Phòng Tài nguyên và Môi trường kèm theo dự thảo quyết định thu hồi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Tài nguyên và Môi trường, Sở Tài nguyên và Môi trường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cưỡng chế thực hiện quyết định thu hồi đất, Quyết định thu hồi đất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30/2014/TT-BTNMT</w:t>
            </w:r>
          </w:p>
        </w:tc>
        <w:tc>
          <w:p/>
          <w:p>
            <w:pPr>
              <w:spacing w:after="0" w:before="0" w:lineRule="auto" w:line="276"/>
              <w:jc w:val="left"/>
            </w:pPr>
            <w:r>
              <w:rPr>
                <w:rFonts w:ascii="Times New Roman" w:hAnsi="Times New Roman" w:cs="Times New Roman" w:eastAsia="Times New Roman"/>
                <w:b w:val="false"/>
                <w:sz w:val="26"/>
              </w:rPr>
              <w:t>Thông tư 30/2014/TT-BTNMT</w:t>
            </w:r>
          </w:p>
        </w:tc>
        <w:tc>
          <w:p/>
          <w:p>
            <w:pPr>
              <w:spacing w:after="0" w:before="0" w:lineRule="auto" w:line="276"/>
              <w:jc w:val="left"/>
            </w:pPr>
            <w:r>
              <w:rPr>
                <w:rFonts w:ascii="Times New Roman" w:hAnsi="Times New Roman" w:cs="Times New Roman" w:eastAsia="Times New Roman"/>
                <w:b w:val="false"/>
                <w:sz w:val="26"/>
              </w:rPr>
              <w:t>02-06-2014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2024-03-28T14:07:32Z</dcterms:created>
  <dc:creator>Apache POI</dc:creator>
</cp:coreProperties>
</file>