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1.005194.000.00.00.H32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hoặc cấp lại Trang bổ sung của Giấy chứng nhận do bị mất (cấp tỉnh - trường hợp đã thành lập VP đăng ký đất đai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 tại trụ sở Ủy ban nhân dân cấp xã, trừ trường hợp mất giấy do thiên tai, hỏa hoạn.
Tổ chức trong nước, cơ sở tôn giáo, tổ chức nước ngoài, cá nhân nước ngoài, người Việt Nam định cư ở nước ngoài phải đăng tin mất Giấy chứng nhận hoặc Trang bổ sung của Giấy chứng nhận trên phương tiện thông tin đại chúng ở địa phương.</w:t>
      </w:r>
    </w:p>
    <w:p>
      <w:pPr>
        <w:spacing w:after="0" w:before="0" w:lineRule="auto" w:line="276"/>
        <w:jc w:val="both"/>
      </w:pPr>
      <w:r>
        <w:rPr>
          <w:rFonts w:ascii="Times New Roman" w:hAnsi="Times New Roman" w:cs="Times New Roman" w:eastAsia="Times New Roman"/>
          <w:b w:val="false"/>
          <w:sz w:val="26"/>
        </w:rPr>
        <w:t>(2) 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w:t>
      </w:r>
    </w:p>
    <w:p>
      <w:pPr>
        <w:spacing w:after="0" w:before="0" w:lineRule="auto" w:line="276"/>
        <w:jc w:val="both"/>
      </w:pPr>
      <w:r>
        <w:rPr>
          <w:rFonts w:ascii="Times New Roman" w:hAnsi="Times New Roman" w:cs="Times New Roman" w:eastAsia="Times New Roman"/>
          <w:b w:val="false"/>
          <w:sz w:val="26"/>
        </w:rPr>
        <w:t>(3) Văn phòng đăng ký đất đai có trách nhiệm kiểm tra 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hoặc Trang bổ sung của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hoặc Trang bổ sung của Giấy chứng nhận cho người được cấp hoặc gửi Ủy ban nhân dân cấp xã để trao đối với trường hợp nộp hồ sơ tại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p>
            <w:pPr>
              <w:spacing w:after="0" w:before="0" w:lineRule="auto" w:line="276"/>
              <w:jc w:val="left"/>
            </w:pPr>
            <w:r>
              <w:rPr>
                <w:rFonts w:ascii="Times New Roman" w:hAnsi="Times New Roman" w:cs="Times New Roman" w:eastAsia="Times New Roman"/>
                <w:b w:val="false"/>
                <w:sz w:val="26"/>
              </w:rPr>
              <w:t xml:space="preserve">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p>
            <w:pPr>
              <w:spacing w:after="0" w:before="0" w:lineRule="auto" w:line="276"/>
              <w:jc w:val="left"/>
            </w:pPr>
            <w:r>
              <w:rPr>
                <w:rFonts w:ascii="Times New Roman" w:hAnsi="Times New Roman" w:cs="Times New Roman" w:eastAsia="Times New Roman"/>
                <w:b w:val="false"/>
                <w:sz w:val="26"/>
              </w:rPr>
              <w:t xml:space="preserve">Phí :  </w:t>
              <w:t xml:space="preserve"> (- Theo mức thu phí quy định tại Nghị quyết số 18/2021/NQ-HĐND ngày 10/12/2021 của Hội đồng nhân dân tỉnh Khánh Hòa về việc quy định mức thu, nộp, quản lý và sử dụng phí thẩm định hồ sơ cấp giấy chứng nhận quyền sử dụng đất; lệ phí cấp giấy chứng nhận quyền sử dụng đất, quyền sở hữu nhà ở và tài sản gắn liền với đất trên địa bàn tỉnh Khánh Hòa - Thời điểm phải nộp phí, lệ phí: khi có kết quả giải quyết TTHC Thời điểm phải nộp nghĩa vụ tài chính: theo Thông báo của cơ quan thuế)</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đề nghị cấp lại Giấy chứng nhận theo Mẫu số 10/ĐK hoặc Đơn đề nghị cấp lại Trang bổ sung của Giấy chứng nhận.</w:t>
            </w:r>
          </w:p>
        </w:tc>
        <w:tc>
          <w:p/>
          <w:p>
            <w:pPr>
              <w:spacing w:after="0" w:before="0" w:lineRule="auto" w:line="276"/>
              <w:jc w:val="left"/>
            </w:pPr>
            <w:r>
              <w:rPr>
                <w:rFonts w:ascii="Times New Roman" w:hAnsi="Times New Roman" w:cs="Times New Roman" w:eastAsia="Times New Roman"/>
                <w:b w:val="false"/>
                <w:sz w:val="26"/>
              </w:rPr>
              <w:t>mau so 10.doc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Giấy xác nhận của Ủy ban nhân dân cấp xã về việc đã niêm yết thông báo mất giấy chứng nhận hoặc Trang bổ sung của Giấy chứng nhận trong thời gian 15 ngày đối với hộ gia đình và cá nhân;  Giấy tờ chứng minh đã đăng tin 03 lần trên phương tiện thông tin đại chúng ở địa phương về việc mất Giấy chứng nhận hoặc Trang bổ sung của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Giấy xác nhận của Ủy ban nhân dân cấp xã về việc thiên tai, hỏa hoạn đối với trường hợp mất Giấy chứng nhận hoặc Trang bổ sung của Giấy chứng nhận do thiên tai, hỏa hoạn.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đất đai, Chi nhánh Văn phòng đăng ký đất đai, Sở Tài nguyên và Môi trường - tỉnh Khánh Hòa, UBND cấp huyện-tỉnh Khánh Hòa,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Tài nguyên và Môi trường, Văn phòng đăng ký đất đai, 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02/2015/TT-BTNMT	</w:t>
            </w:r>
          </w:p>
        </w:tc>
        <w:tc>
          <w:p/>
          <w:p>
            <w:pPr>
              <w:spacing w:after="0" w:before="0" w:lineRule="auto" w:line="276"/>
              <w:jc w:val="left"/>
            </w:pPr>
            <w:r>
              <w:rPr>
                <w:rFonts w:ascii="Times New Roman" w:hAnsi="Times New Roman" w:cs="Times New Roman" w:eastAsia="Times New Roman"/>
                <w:b w:val="false"/>
                <w:sz w:val="26"/>
              </w:rPr>
              <w:t>Thông tư 02/2015/TT-BTNMT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số 85/2019/TT-BTC ngày 29 tháng 11 năm 2019 của Bộ trưởng Bộ Tài chính hướng dẫn về phí và lệ phí thuộc thẩm quyền quyết định của HĐND tỉnh, thành phố trực thuộc Trung ương (được sửa đổi bổ sung tại Thông tư số 106/2021/TT-BTC ngày 26 tháng 11 năm 2021 và Thông tư số 75/2022/TT-BTC ngày 22 tháng 12 năm 2022 của Bộ trưởng Bộ Tài chính)</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148/2020/NĐ-CP</w:t>
            </w:r>
          </w:p>
        </w:tc>
        <w:tc>
          <w:p/>
          <w:p>
            <w:pPr>
              <w:spacing w:after="0" w:before="0" w:lineRule="auto" w:line="276"/>
              <w:jc w:val="left"/>
            </w:pPr>
            <w:r>
              <w:rPr>
                <w:rFonts w:ascii="Times New Roman" w:hAnsi="Times New Roman" w:cs="Times New Roman" w:eastAsia="Times New Roman"/>
                <w:b w:val="false"/>
                <w:sz w:val="26"/>
              </w:rPr>
              <w:t>Nghị định 148/2020/NĐ-CP</w:t>
            </w:r>
          </w:p>
        </w:tc>
        <w:tc>
          <w:p/>
          <w:p>
            <w:pPr>
              <w:spacing w:after="0" w:before="0" w:lineRule="auto" w:line="276"/>
              <w:jc w:val="left"/>
            </w:pPr>
            <w:r>
              <w:rPr>
                <w:rFonts w:ascii="Times New Roman" w:hAnsi="Times New Roman" w:cs="Times New Roman" w:eastAsia="Times New Roman"/>
                <w:b w:val="false"/>
                <w:sz w:val="26"/>
              </w:rPr>
              <w:t>18-12-2020</w:t>
            </w:r>
          </w:p>
        </w:tc>
        <w:tc>
          <w:p/>
        </w:tc>
      </w:tr>
      <w:tr>
        <w:tc>
          <w:p/>
          <w:p>
            <w:pPr>
              <w:spacing w:after="0" w:before="0" w:lineRule="auto" w:line="276"/>
              <w:jc w:val="left"/>
            </w:pPr>
            <w:r>
              <w:rPr>
                <w:rFonts w:ascii="Times New Roman" w:hAnsi="Times New Roman" w:cs="Times New Roman" w:eastAsia="Times New Roman"/>
                <w:b w:val="false"/>
                <w:sz w:val="26"/>
              </w:rPr>
              <w:t>18/2021/NQ-HĐND</w:t>
            </w:r>
          </w:p>
        </w:tc>
        <w:tc>
          <w:p/>
          <w:p>
            <w:pPr>
              <w:spacing w:after="0" w:before="0" w:lineRule="auto" w:line="276"/>
              <w:jc w:val="left"/>
            </w:pPr>
            <w:r>
              <w:rPr>
                <w:rFonts w:ascii="Times New Roman" w:hAnsi="Times New Roman" w:cs="Times New Roman" w:eastAsia="Times New Roman"/>
                <w:b w:val="false"/>
                <w:sz w:val="26"/>
              </w:rPr>
              <w:t>Về việc quy định mức thu, nộp, quản lý và sử dụng phí thẩm định hồ sơ cấp Giấy chứng nhận quyền sử dụng đất; lệ phí cấp Giấy chứng nhận quyền sử dụng đất, quyền sở hữu nhà, tài sản gắn liền với đất trên địa bàn tỉnh Khánh Hòa.</w:t>
            </w:r>
          </w:p>
        </w:tc>
        <w:tc>
          <w:p/>
          <w:p>
            <w:pPr>
              <w:spacing w:after="0" w:before="0" w:lineRule="auto" w:line="276"/>
              <w:jc w:val="left"/>
            </w:pPr>
            <w:r>
              <w:rPr>
                <w:rFonts w:ascii="Times New Roman" w:hAnsi="Times New Roman" w:cs="Times New Roman" w:eastAsia="Times New Roman"/>
                <w:b w:val="false"/>
                <w:sz w:val="26"/>
              </w:rPr>
              <w:t>10-12-2021</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02/2023/TT-BTNMT</w:t>
            </w:r>
          </w:p>
        </w:tc>
        <w:tc>
          <w:p/>
          <w:p>
            <w:pPr>
              <w:spacing w:after="0" w:before="0" w:lineRule="auto" w:line="276"/>
              <w:jc w:val="left"/>
            </w:pPr>
            <w:r>
              <w:rPr>
                <w:rFonts w:ascii="Times New Roman" w:hAnsi="Times New Roman" w:cs="Times New Roman" w:eastAsia="Times New Roman"/>
                <w:b w:val="false"/>
                <w:sz w:val="26"/>
              </w:rPr>
              <w:t>Thông tư số 02/2023/TT-BTNMT ngày 15 tháng 5 năm 2023 sửa đổi, bổ sung một số điều của Thông tư số 23/2014/TT-BTNMT ngày 19 tháng 5 năm 2014 của Bộ trưởng Bộ Tài nguyên và Môi trường quy định về Giấy chứng nhận quyền sử dụng đất, quyền sở hữu nhà ở và tài sản khác gắn liền với đất và sửa đổi, bổ sung một số điều Thông tư số 24/2014/TT -BTNMT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15-05-2023</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14/2023/TT-BTNMT</w:t>
            </w:r>
          </w:p>
        </w:tc>
        <w:tc>
          <w:p/>
          <w:p>
            <w:pPr>
              <w:spacing w:after="0" w:before="0" w:lineRule="auto" w:line="276"/>
              <w:jc w:val="left"/>
            </w:pPr>
            <w:r>
              <w:rPr>
                <w:rFonts w:ascii="Times New Roman" w:hAnsi="Times New Roman" w:cs="Times New Roman" w:eastAsia="Times New Roman"/>
                <w:b w:val="false"/>
                <w:sz w:val="26"/>
              </w:rPr>
              <w:t>THÔNG TƯ  SỬA ĐỔI, BỔ SUNG MỘT SỐ ĐIỀU CỦA CÁC THÔNG TƯ LIÊN QUAN ĐẾN VIỆC NỘP, XUẤT TRÌNH SỔ HỘ KHẨU VÀ GIẤY TỜ LIÊN QUAN CƯ TRÚ KHI THỰC HIỆN THỦ TỤC HÀNH CHÍNH, CUNG CẤP DỊCH VỤ CÔNG TRONG LĨNH VỰC ĐẤT ĐAI</w:t>
            </w:r>
          </w:p>
        </w:tc>
        <w:tc>
          <w:p/>
          <w:p>
            <w:pPr>
              <w:spacing w:after="0" w:before="0" w:lineRule="auto" w:line="276"/>
              <w:jc w:val="left"/>
            </w:pPr>
            <w:r>
              <w:rPr>
                <w:rFonts w:ascii="Times New Roman" w:hAnsi="Times New Roman" w:cs="Times New Roman" w:eastAsia="Times New Roman"/>
                <w:b w:val="false"/>
                <w:sz w:val="26"/>
              </w:rPr>
              <w:t>16-10-2023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2024-03-28T19:57:05Z</dcterms:created>
  <dc:creator>Apache POI</dc:creator>
</cp:coreProperties>
</file>