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1.005386.000.00.00.H56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4796/QĐ-UBND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chuyển cán bộ, công chức cấp xã thành công chức cấp huyện trở lên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chức, viên chức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Bước 1. Kiểm tra, sát hạch:</w:t>
      </w:r>
    </w:p>
    <w:p>
      <w:pPr>
        <w:spacing w:after="0" w:before="0" w:lineRule="auto" w:line="276"/>
        <w:jc w:val="both"/>
      </w:pPr>
      <w:r>
        <w:rPr>
          <w:rFonts w:ascii="Times New Roman" w:hAnsi="Times New Roman" w:cs="Times New Roman" w:eastAsia="Times New Roman"/>
          <w:b w:val="false"/>
          <w:sz w:val="26"/>
        </w:rPr>
        <w:t>- Cán bộ cấp xã theo quy định tại Khoản 2 Điều 61 Luật Cán bộ, công chức khi thôi giữ chức vụ theo nhiệm kỳ và công chức cấp xã theo quy định tại Khoản 3 Điều 61 Luật Cán bộ, công chức, nếu có đủ các điều kiện, tiêu chuẩn quy định tại Điều 25 Nghị định số 24/2010/NĐ-CP và có nguyện vọng chuyển thành công chức từ cấp huyện trở lên thì phải có hồ sơ cá nhân gửi người đứng đầu cơ quan có thẩm quyền tuyển dụng công chức xem xét;</w:t>
      </w:r>
    </w:p>
    <w:p>
      <w:pPr>
        <w:spacing w:after="0" w:before="0" w:lineRule="auto" w:line="276"/>
        <w:jc w:val="both"/>
      </w:pPr>
      <w:r>
        <w:rPr>
          <w:rFonts w:ascii="Times New Roman" w:hAnsi="Times New Roman" w:cs="Times New Roman" w:eastAsia="Times New Roman"/>
          <w:b w:val="false"/>
          <w:sz w:val="26"/>
        </w:rPr>
        <w:t>- Người đứng đầu cơ quan có thẩm quyền tuyển dụng công chức thành lập Hội đồng kiểm tra, sát hạch để đánh giá về các điều kiện, tiêu chuẩn, trình độ và năng lực chuyên môn, nghiệp vụ của người đề nghị xét chuyển theo yêu cầu nhiệm vụ của vị trí việc làm cần tuyển.</w:t>
      </w:r>
    </w:p>
    <w:p>
      <w:pPr>
        <w:spacing w:after="0" w:before="0" w:lineRule="auto" w:line="276"/>
        <w:jc w:val="both"/>
      </w:pPr>
      <w:r>
        <w:rPr>
          <w:rFonts w:ascii="Times New Roman" w:hAnsi="Times New Roman" w:cs="Times New Roman" w:eastAsia="Times New Roman"/>
          <w:b w:val="false"/>
          <w:sz w:val="26"/>
        </w:rPr>
        <w:t>* Hội đồng kiểm tra, sát hạch có 05 hoặc 07 thành viên, bao gồm:</w:t>
      </w:r>
    </w:p>
    <w:p>
      <w:pPr>
        <w:spacing w:after="0" w:before="0" w:lineRule="auto" w:line="276"/>
        <w:jc w:val="both"/>
      </w:pPr>
      <w:r>
        <w:rPr>
          <w:rFonts w:ascii="Times New Roman" w:hAnsi="Times New Roman" w:cs="Times New Roman" w:eastAsia="Times New Roman"/>
          <w:b w:val="false"/>
          <w:sz w:val="26"/>
        </w:rPr>
        <w:t>+ Chủ tịch Hội đồng là người đứng đầu hoặc cấp phó của người đứng đầu cơ quan có thẩm quyền tuyển dụng công chức;</w:t>
      </w:r>
    </w:p>
    <w:p>
      <w:pPr>
        <w:spacing w:after="0" w:before="0" w:lineRule="auto" w:line="276"/>
        <w:jc w:val="both"/>
      </w:pPr>
      <w:r>
        <w:rPr>
          <w:rFonts w:ascii="Times New Roman" w:hAnsi="Times New Roman" w:cs="Times New Roman" w:eastAsia="Times New Roman"/>
          <w:b w:val="false"/>
          <w:sz w:val="26"/>
        </w:rPr>
        <w:t>+ Một ủy viên là người đứng đầu bộ phận tham mưu về công tác tổ chức cán bộ của cơ quan có thẩm quyền tuyển dụng công chức;</w:t>
      </w:r>
    </w:p>
    <w:p>
      <w:pPr>
        <w:spacing w:after="0" w:before="0" w:lineRule="auto" w:line="276"/>
        <w:jc w:val="both"/>
      </w:pPr>
      <w:r>
        <w:rPr>
          <w:rFonts w:ascii="Times New Roman" w:hAnsi="Times New Roman" w:cs="Times New Roman" w:eastAsia="Times New Roman"/>
          <w:b w:val="false"/>
          <w:sz w:val="26"/>
        </w:rPr>
        <w:t>+ Một ủy viên là người đứng đầu cơ quan, tổ chức, đơn vị dự kiến bố trí công chức sau khi được xét chuyển;</w:t>
      </w:r>
    </w:p>
    <w:p>
      <w:pPr>
        <w:spacing w:after="0" w:before="0" w:lineRule="auto" w:line="276"/>
        <w:jc w:val="both"/>
      </w:pPr>
      <w:r>
        <w:rPr>
          <w:rFonts w:ascii="Times New Roman" w:hAnsi="Times New Roman" w:cs="Times New Roman" w:eastAsia="Times New Roman"/>
          <w:b w:val="false"/>
          <w:sz w:val="26"/>
        </w:rPr>
        <w:t>+ Các ủy viên khác là đại diện một số bộ phận chuyên môn, nghiệp vụ có liên quan, trong đó có một ủy viên kiêm Thư ký Hội đồng.</w:t>
      </w:r>
    </w:p>
    <w:p>
      <w:pPr>
        <w:spacing w:after="0" w:before="0" w:lineRule="auto" w:line="276"/>
        <w:jc w:val="both"/>
      </w:pPr>
      <w:r>
        <w:rPr>
          <w:rFonts w:ascii="Times New Roman" w:hAnsi="Times New Roman" w:cs="Times New Roman" w:eastAsia="Times New Roman"/>
          <w:b w:val="false"/>
          <w:sz w:val="26"/>
        </w:rPr>
        <w:t>* Nhiệm vụ, quyền hạn của Hội đồng kiểm tra, sát hạch:</w:t>
      </w:r>
    </w:p>
    <w:p>
      <w:pPr>
        <w:spacing w:after="0" w:before="0" w:lineRule="auto" w:line="276"/>
        <w:jc w:val="both"/>
      </w:pPr>
      <w:r>
        <w:rPr>
          <w:rFonts w:ascii="Times New Roman" w:hAnsi="Times New Roman" w:cs="Times New Roman" w:eastAsia="Times New Roman"/>
          <w:b w:val="false"/>
          <w:sz w:val="26"/>
        </w:rPr>
        <w:t>+ Kiểm tra về các điều kiện, tiêu chuẩn, văn bằng, chứng chỉ của người đề nghị xét chuyển theo yêu cầu của vị trí việc làm cần tuyển;</w:t>
      </w:r>
    </w:p>
    <w:p>
      <w:pPr>
        <w:spacing w:after="0" w:before="0" w:lineRule="auto" w:line="276"/>
        <w:jc w:val="both"/>
      </w:pPr>
      <w:r>
        <w:rPr>
          <w:rFonts w:ascii="Times New Roman" w:hAnsi="Times New Roman" w:cs="Times New Roman" w:eastAsia="Times New Roman"/>
          <w:b w:val="false"/>
          <w:sz w:val="26"/>
        </w:rPr>
        <w:t>- Sát hạch về trình độ hiểu biết chung và năng lực chuyên môn, nghiệp vụ của người đề nghị xét chuyển. Hình thức và nội dung sát hạch do Hội đồng kiểm tra, sát hạch căn cứ vào yêu cầu của vị trí việc làm cần tuyển, báo cáo người đứng đầu cơ quan có thẩm quyền tuyển dụng công chức xem xét, quyết định trước khi tổ chức sát hạch;</w:t>
      </w:r>
    </w:p>
    <w:p>
      <w:pPr>
        <w:spacing w:after="0" w:before="0" w:lineRule="auto" w:line="276"/>
        <w:jc w:val="both"/>
      </w:pPr>
      <w:r>
        <w:rPr>
          <w:rFonts w:ascii="Times New Roman" w:hAnsi="Times New Roman" w:cs="Times New Roman" w:eastAsia="Times New Roman"/>
          <w:b w:val="false"/>
          <w:sz w:val="26"/>
        </w:rPr>
        <w:t>+ Hội đồng kiểm tra, sát hạch làm việc theo nguyên tắc tập thể, biểu quyết theo đa số và tự giải thể sau khi hoàn thành nhiệm vụ.</w:t>
      </w:r>
    </w:p>
    <w:p>
      <w:pPr>
        <w:shd w:val="clear" w:color="auto" w:fill="F2F6F9"/>
        <w:spacing w:after="0" w:before="120" w:lineRule="auto" w:line="276"/>
        <w:jc w:val="both"/>
      </w:pPr>
      <w:r>
        <w:rPr>
          <w:rFonts w:ascii="Times New Roman" w:hAnsi="Times New Roman" w:cs="Times New Roman" w:eastAsia="Times New Roman"/>
          <w:b w:val="true"/>
          <w:sz w:val="26"/>
        </w:rPr>
        <w:t>Bước 2. Xem xét, quyết định xét chuyển:</w:t>
      </w:r>
    </w:p>
    <w:p>
      <w:pPr>
        <w:spacing w:after="0" w:before="0" w:lineRule="auto" w:line="276"/>
        <w:jc w:val="both"/>
      </w:pPr>
      <w:r>
        <w:rPr>
          <w:rFonts w:ascii="Times New Roman" w:hAnsi="Times New Roman" w:cs="Times New Roman" w:eastAsia="Times New Roman"/>
          <w:b w:val="false"/>
          <w:sz w:val="26"/>
        </w:rPr>
        <w:t>- Trường hợp cơ quan quản lý công chức theo quy định tại Khoản 2 Điều 2 Nghị định số 24/2010/NĐ-CP thực hiện xét chuyển thì căn cứ vào kết quả kiểm tra sát hạch, người đứng đầu cơ quan quản lý công chức xem xét, quyết định xét chuyển.</w:t>
      </w:r>
    </w:p>
    <w:p>
      <w:pPr>
        <w:spacing w:after="0" w:before="0" w:lineRule="auto" w:line="276"/>
        <w:jc w:val="both"/>
      </w:pPr>
      <w:r>
        <w:rPr>
          <w:rFonts w:ascii="Times New Roman" w:hAnsi="Times New Roman" w:cs="Times New Roman" w:eastAsia="Times New Roman"/>
          <w:b w:val="false"/>
          <w:sz w:val="26"/>
        </w:rPr>
        <w:t>- Trường hợp cơ quan, tổ chức, đơn vị được phân cấp thẩm quyền tuyển dụng Khoản 2 Điều 3 Thông tư số 13/2010/TT-BNV thực hiện xét chuyển thì người đứng đầu cơ quan tuyển dụng công chức có văn bản (kèm theo biên bản họp Hội đồng kiểm tra, sát hạch) gửi người đứng đầu cơ quan quản lý công chức xem xét, quyết định.</w:t>
      </w:r>
    </w:p>
    <w:p>
      <w:pPr>
        <w:spacing w:after="0" w:before="0" w:lineRule="auto" w:line="276"/>
        <w:jc w:val="both"/>
      </w:pPr>
      <w:r>
        <w:rPr>
          <w:rFonts w:ascii="Times New Roman" w:hAnsi="Times New Roman" w:cs="Times New Roman" w:eastAsia="Times New Roman"/>
          <w:b w:val="false"/>
          <w:sz w:val="26"/>
        </w:rPr>
        <w:t>- Cán bộ, công chức cấp xã được xét chuyển thành công chức từ cấp huyện trở lên thì được bổ nhiệm vào ngạch công chức tương ứng với vị trí việc làm đảm nhiệm. Việc xếp lương vào ngạch bổ nhiệm và bảo lưu lương, phụ cấp chức vụ lãnh đạo (nếu có) thực hiện theo quy định tại Khoản 4 Điều 13 Thông tư số 13/2010/TT-BNV.</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trụ sở cơ quan có thẩm quyền tuyển dụng.</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Tại địa chỉ: https://dichvucong.thanhhoa.gov.vn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Thành phần hồ sơ: (Khoản 1 Điều 13 Thông tư số 13/2010/TT-BNV). 	- Đơn đề nghị xét chuyển thành công chức từ cấp huyện trở lên; 	- Bản đánh giá, nhận xét quá trình công tác và ý kiến đồng ý cho chuyển công tác của người đứng đầu cơ quan có thẩm quyền quản lý cán bộ, công chức cấp xã; 	- Bản sơ yếu lý lịch của cán bộ, công chức theo mẫu số 2c, có xác nhận của Ủy ban nhân dân cấp xã nơi người đề nghị xét chuyển đang công tác; 	- Bản sao các văn bằng, chứng chỉ theo tiêu chuẩn nghiệp vụ của ngạch công chức được cơ quan có thẩm quyền chứng thực; 	- Giấy chứng nhận sức khỏe do cơ quan y tế có thẩm quyền cấp trong thời hạn 30 ngày, tính đến ngày nộp hồ sơ đề nghị xét chuyển.</w:t>
            </w:r>
          </w:p>
        </w:tc>
        <w:tc>
          <w:p/>
          <w:p>
            <w:pPr>
              <w:spacing w:after="0" w:before="0" w:lineRule="auto" w:line="276"/>
              <w:jc w:val="left"/>
            </w:pPr>
            <w:r>
              <w:rPr>
                <w:rFonts w:ascii="Times New Roman" w:hAnsi="Times New Roman" w:cs="Times New Roman" w:eastAsia="Times New Roman"/>
                <w:b w:val="false"/>
                <w:sz w:val="26"/>
              </w:rPr>
              <w:t>Maulylich 2C-BNV_2008.docx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Số lượng hồ sơ: Không xác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Các Sở, ngành và địa phương liên quan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qủa của các sở, ban, ngành cấp tỉnh tại Trung tâm Phục vụ hành chính công tỉnh (Số 28 Đại lộ Lê Lợi, phường Điện Biên, thành phố Thanh Hóa, tỉnh Thanh Hóa;  - Bộ phận tiếp nhận và trả kết qủa thuộc Văn phòng HĐND - UBND cấp huyện; Qua hệ thống dịch vụ công trực tuyến tại địa chỉ:https://dichvucong.thanhhoa.gov.vn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hành chính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22/2008/QH12</w:t>
            </w:r>
          </w:p>
        </w:tc>
        <w:tc>
          <w:p/>
          <w:p>
            <w:pPr>
              <w:spacing w:after="0" w:before="0" w:lineRule="auto" w:line="276"/>
              <w:jc w:val="left"/>
            </w:pPr>
            <w:r>
              <w:rPr>
                <w:rFonts w:ascii="Times New Roman" w:hAnsi="Times New Roman" w:cs="Times New Roman" w:eastAsia="Times New Roman"/>
                <w:b w:val="false"/>
                <w:sz w:val="26"/>
              </w:rPr>
              <w:t>Luật Cán bộ, công chức</w:t>
            </w:r>
          </w:p>
        </w:tc>
        <w:tc>
          <w:p/>
          <w:p>
            <w:pPr>
              <w:spacing w:after="0" w:before="0" w:lineRule="auto" w:line="276"/>
              <w:jc w:val="left"/>
            </w:pPr>
            <w:r>
              <w:rPr>
                <w:rFonts w:ascii="Times New Roman" w:hAnsi="Times New Roman" w:cs="Times New Roman" w:eastAsia="Times New Roman"/>
                <w:b w:val="false"/>
                <w:sz w:val="26"/>
              </w:rPr>
              <w:t>13-11-2008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24/2010/NĐ-CP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15-03-2010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93/2010/NĐ-CP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31-08-2010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161/2018/NĐ-CP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29-11-2018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13/2010/TT-BNV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30-12-2010</w:t>
            </w:r>
          </w:p>
        </w:tc>
        <w:tc>
          <w:p/>
          <w:p>
            <w:pPr>
              <w:spacing w:after="0" w:before="0" w:lineRule="auto" w:line="276"/>
              <w:jc w:val="left"/>
            </w:pPr>
            <w:r>
              <w:rPr>
                <w:rFonts w:ascii="Times New Roman" w:hAnsi="Times New Roman" w:cs="Times New Roman" w:eastAsia="Times New Roman"/>
                <w:b w:val="false"/>
                <w:sz w:val="26"/>
              </w:rPr>
              <w:t>Bộ Nội vụ</w:t>
            </w:r>
          </w:p>
        </w:tc>
      </w:tr>
      <w:tr>
        <w:tc>
          <w:p/>
          <w:p>
            <w:pPr>
              <w:spacing w:after="0" w:before="0" w:lineRule="auto" w:line="276"/>
              <w:jc w:val="left"/>
            </w:pPr>
            <w:r>
              <w:rPr>
                <w:rFonts w:ascii="Times New Roman" w:hAnsi="Times New Roman" w:cs="Times New Roman" w:eastAsia="Times New Roman"/>
                <w:b w:val="false"/>
                <w:sz w:val="26"/>
              </w:rPr>
              <w:t>05/2012/TT-BNV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24-10-2012</w:t>
            </w:r>
          </w:p>
        </w:tc>
        <w:tc>
          <w:p/>
          <w:p>
            <w:pPr>
              <w:spacing w:after="0" w:before="0" w:lineRule="auto" w:line="276"/>
              <w:jc w:val="left"/>
            </w:pPr>
            <w:r>
              <w:rPr>
                <w:rFonts w:ascii="Times New Roman" w:hAnsi="Times New Roman" w:cs="Times New Roman" w:eastAsia="Times New Roman"/>
                <w:b w:val="false"/>
                <w:sz w:val="26"/>
              </w:rPr>
              <w:t>Bộ Nội vụ</w:t>
            </w:r>
          </w:p>
        </w:tc>
      </w:tr>
      <w:tr>
        <w:tc>
          <w:p/>
          <w:p>
            <w:pPr>
              <w:spacing w:after="0" w:before="0" w:lineRule="auto" w:line="276"/>
              <w:jc w:val="left"/>
            </w:pPr>
            <w:r>
              <w:rPr>
                <w:rFonts w:ascii="Times New Roman" w:hAnsi="Times New Roman" w:cs="Times New Roman" w:eastAsia="Times New Roman"/>
                <w:b w:val="false"/>
                <w:sz w:val="26"/>
              </w:rPr>
              <w:t>03/2015/TT-BNV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10-03-2015</w:t>
            </w:r>
          </w:p>
        </w:tc>
        <w:tc>
          <w:p/>
          <w:p>
            <w:pPr>
              <w:spacing w:after="0" w:before="0" w:lineRule="auto" w:line="276"/>
              <w:jc w:val="left"/>
            </w:pPr>
            <w:r>
              <w:rPr>
                <w:rFonts w:ascii="Times New Roman" w:hAnsi="Times New Roman" w:cs="Times New Roman" w:eastAsia="Times New Roman"/>
                <w:b w:val="false"/>
                <w:sz w:val="26"/>
              </w:rPr>
              <w:t>Bộ Nội vụ</w:t>
            </w:r>
          </w:p>
        </w:tc>
      </w:tr>
      <w:tr>
        <w:tc>
          <w:p/>
          <w:p>
            <w:pPr>
              <w:spacing w:after="0" w:before="0" w:lineRule="auto" w:line="276"/>
              <w:jc w:val="left"/>
            </w:pPr>
            <w:r>
              <w:rPr>
                <w:rFonts w:ascii="Times New Roman" w:hAnsi="Times New Roman" w:cs="Times New Roman" w:eastAsia="Times New Roman"/>
                <w:b w:val="false"/>
                <w:sz w:val="26"/>
              </w:rPr>
              <w:t>03/2019/TT-BNV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14-05-2019</w:t>
            </w:r>
          </w:p>
        </w:tc>
        <w:tc>
          <w:p/>
          <w:p>
            <w:pPr>
              <w:spacing w:after="0" w:before="0" w:lineRule="auto" w:line="276"/>
              <w:jc w:val="left"/>
            </w:pPr>
            <w:r>
              <w:rPr>
                <w:rFonts w:ascii="Times New Roman" w:hAnsi="Times New Roman" w:cs="Times New Roman" w:eastAsia="Times New Roman"/>
                <w:b w:val="false"/>
                <w:sz w:val="26"/>
              </w:rPr>
              <w:t>Bộ Nội vụ</w:t>
            </w:r>
          </w:p>
        </w:tc>
      </w:tr>
      <w:tr>
        <w:tc>
          <w:p/>
          <w:p>
            <w:pPr>
              <w:spacing w:after="0" w:before="0" w:lineRule="auto" w:line="276"/>
              <w:jc w:val="left"/>
            </w:pPr>
            <w:r>
              <w:rPr>
                <w:rFonts w:ascii="Times New Roman" w:hAnsi="Times New Roman" w:cs="Times New Roman" w:eastAsia="Times New Roman"/>
                <w:b w:val="false"/>
                <w:sz w:val="26"/>
              </w:rPr>
              <w:t>11/2014/TT-BNV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09-10-2014</w:t>
            </w:r>
          </w:p>
        </w:tc>
        <w:tc>
          <w:p/>
          <w:p>
            <w:pPr>
              <w:spacing w:after="0" w:before="0" w:lineRule="auto" w:line="276"/>
              <w:jc w:val="left"/>
            </w:pPr>
            <w:r>
              <w:rPr>
                <w:rFonts w:ascii="Times New Roman" w:hAnsi="Times New Roman" w:cs="Times New Roman" w:eastAsia="Times New Roman"/>
                <w:b w:val="false"/>
                <w:sz w:val="26"/>
              </w:rPr>
              <w:t>Bộ Nội vụ</w:t>
            </w:r>
          </w:p>
        </w:tc>
      </w:tr>
      <w:tr>
        <w:tc>
          <w:p/>
          <w:p>
            <w:pPr>
              <w:spacing w:after="0" w:before="0" w:lineRule="auto" w:line="276"/>
              <w:jc w:val="left"/>
            </w:pPr>
            <w:r>
              <w:rPr>
                <w:rFonts w:ascii="Times New Roman" w:hAnsi="Times New Roman" w:cs="Times New Roman" w:eastAsia="Times New Roman"/>
                <w:b w:val="false"/>
                <w:sz w:val="26"/>
              </w:rPr>
              <w:t>05/2017/TT-BNV</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15-08-2017</w:t>
            </w:r>
          </w:p>
        </w:tc>
        <w:tc>
          <w:p/>
          <w:p>
            <w:pPr>
              <w:spacing w:after="0" w:before="0" w:lineRule="auto" w:line="276"/>
              <w:jc w:val="left"/>
            </w:pPr>
            <w:r>
              <w:rPr>
                <w:rFonts w:ascii="Times New Roman" w:hAnsi="Times New Roman" w:cs="Times New Roman" w:eastAsia="Times New Roman"/>
                <w:b w:val="false"/>
                <w:sz w:val="26"/>
              </w:rPr>
              <w:t>Bộ Nội vụ</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25 Nghị định số 24/2010/NĐ-CP; Khoản 13 Điều 1 Nghị định số 161/2018/NĐ-CP ngày 29/11/2018 )
1. Cơ quan sử dụng công chức có nhu cầu tuyển dụng theo cơ cấu ngạch công chức phù hợp với vị trí việc làm cần tuyển dụng;
2. Có đủ các tiêu chuẩn nghiệp vụ của ngạch công chức tương ứng với vị trí việc làm;
3. Trường hợp là công chức cấp xã thì phải có thời gian làm công chức cấp xã từ đủ 60 tháng trở lên (không kể thời gian tập sự, nếu có thời gian công tác không liên tục mà chưa nhận trợ cấp bảo hiểm xã hội một lần thì được cộng dồn).
4. Có phẩm chất chính trị, phẩm chất đạo đức, hoàn thành chức trách, nhiệm vụ được giao;
5. Không trong thời gian xem xét kỷ luật hoặc đang bị thi hành quyết định kỷ luật của cơ quan có thẩm quyền, đang bị truy cứu trách nhiệm hình sự, đang chấp hành hoặc đã chấp hành xong bản án, quyết định về hình sự của Tòa án mà chưa được xóa án tích, đang bị áp dụng các biện pháp xử lý hành chính đưa vào cơ sở chữa bệnh, cơ sở giáo dục, trường giáo dưỡng.
6. Việc tiếp nhận cán bộ, công chức cấp xã để bổ nhiệm chức danh lãnh đạo, quản lý từ cấp phòng trở lên thì quy trình xét chuyển cán bộ, công chức cấp xã thành công chức từ cấp huyện trở lên được thực hiện đồng thời với quy trình về công tác bổ nhiệm công chức giữ chức vụ lãnh đạo, quản lý. Cơ quan có thẩm quyền quản lý công chức không phải ban hành quyết định tuyển dụng vào công chức không qua thi tuyển mà quyết định tiếp nhận, bổ nhiệm đồng thời là quyết định tuyển dụng công chức.
Trường hợp cán bộ, công chức từ cấp huyện trở lên được điều động, luân chuyển về làm cán bộ, công chức cấp xã thì khi điều động, luân chuyển trở lại không phải thực hiện quy tŕnh xét chuyển.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2024-03-28T10:00:02Z</dcterms:created>
  <dc:creator>Apache POI</dc:creator>
</cp:coreProperties>
</file>