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1.005424</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1613/QĐ-BTC</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Quyết định bán tài sản công cho người duy nhất theo quy định tại khoản 2 Điều 25 Nghị định số 151/2017/NĐ-CP ngày 26/12/2017 của Chính phủ</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Quản lý công sản</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Bước 1: Trong thời hạn 07 ngày làm việc, kể từ ngày xác định được người duy nhất theo quy định tại khoản 2 Điều 25 Nghị định số 151/2017/NĐ-CP ngày 26/12/2017 của Chính phủ, cơ quan được giao nhiệm vụ tổ chức bán tài sản có trách nhiệm lập 01 bộ hồ sơ trình cơ quan quản lý cấp trên (nếu có) để xem xét, đề nghị cơ quan, người có thẩm quyền đã ra quyết định bán tài sản để xem xét, quyết định bán tài sản cho người duy nhất thay thế quyết định bán đấu giá tài sản đã ban hành.</w:t>
      </w:r>
    </w:p>
    <w:p>
      <w:pPr>
        <w:spacing w:after="0" w:before="0" w:lineRule="auto" w:line="276"/>
        <w:jc w:val="both"/>
      </w:pPr>
      <w:r>
        <w:rPr>
          <w:rFonts w:ascii="Times New Roman" w:hAnsi="Times New Roman" w:cs="Times New Roman" w:eastAsia="Times New Roman"/>
          <w:b w:val="false"/>
          <w:sz w:val="26"/>
        </w:rPr>
        <w:t>Bước 2: Trong thời hạn 07 ngày làm việc, kể từ ngày nhận được đầy đủ hồ sơ hợp lệ, cơ quan, người có thẩm quyền xem xét, quyết định bán tài sản công cho người duy nhất tham gia đấu giá.</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Không quá 07 ngày làm việc, kể từ ngày nhận được đầy đủ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Không quá 07 ngày làm việc, kể từ ngày nhận được đầy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Văn bản đề nghị bán của cơ quan được giao nhiệm vụ tổ chức bán tài sản (trong đó mô tả đầy đủ quá trình tổ chức đấu giá và mức giá tổ chức, cá nhân duy nhất tham gia đấu giá đã trả): 01 bản chính;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Văn bản đề nghị bán tài sản công cho người duy nhất của cơ quan quản lý cấp trên (nếu có): 01 bản chính;</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Quyết định bán đấu giá tài sản của cơ quan, người có thẩm quyền: 01 bản sao;</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Biên bản bán đấu giá tài sản (nếu có) và các hồ sơ liên quan đến quá trình tổ chức đấu giá tài sản: 01 bản sao.</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Cán bộ, công chức, viên chức, Doanh nghiệp,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tỉnh và thành phố trực thuộc trung ương., Bộ, cơ quan ngang Bộ, cơ quan thuộc Chính phủ</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bán tài sản công cho người duy nhất tham gia đấu giá.</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Số: 151/2017/NĐ-CP</w:t>
            </w:r>
          </w:p>
        </w:tc>
        <w:tc>
          <w:p/>
          <w:p>
            <w:pPr>
              <w:spacing w:after="0" w:before="0" w:lineRule="auto" w:line="276"/>
              <w:jc w:val="left"/>
            </w:pPr>
            <w:r>
              <w:rPr>
                <w:rFonts w:ascii="Times New Roman" w:hAnsi="Times New Roman" w:cs="Times New Roman" w:eastAsia="Times New Roman"/>
                <w:b w:val="false"/>
                <w:sz w:val="26"/>
              </w:rPr>
              <w:t>NGHỊ ĐỊNH  QUY ĐỊNH CHI TIẾT MỘT SỐ ĐIỀU CỦA LUẬT QUẢN LÝ, SỬ DỤNG TÀI SẢN CÔNG</w:t>
            </w:r>
          </w:p>
        </w:tc>
        <w:tc>
          <w:p/>
          <w:p>
            <w:pPr>
              <w:spacing w:after="0" w:before="0" w:lineRule="auto" w:line="276"/>
              <w:jc w:val="left"/>
            </w:pPr>
            <w:r>
              <w:rPr>
                <w:rFonts w:ascii="Times New Roman" w:hAnsi="Times New Roman" w:cs="Times New Roman" w:eastAsia="Times New Roman"/>
                <w:b w:val="false"/>
                <w:sz w:val="26"/>
              </w:rPr>
              <w:t>26-12-2017</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2024-03-28T23:54:26Z</dcterms:created>
  <dc:creator>Apache POI</dc:creator>
</cp:coreProperties>
</file>