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1.005440.000.00.00.H32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678/QĐ-UBND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hoạt động thư viện tư nhân có vốn sách ban đầu từ 500 bản đến dưới 1.000 bản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Thư viện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Người đứng tên thành lập thư viện gửi hồ sơ đăng ký hoạt động đến Ủy ban nhân dân cấp xã nơi thư viện đặt trụ sở. </w:t>
      </w:r>
    </w:p>
    <w:p>
      <w:pPr>
        <w:spacing w:after="0" w:before="0" w:lineRule="auto" w:line="276"/>
        <w:jc w:val="both"/>
      </w:pPr>
      <w:r>
        <w:rPr>
          <w:rFonts w:ascii="Times New Roman" w:hAnsi="Times New Roman" w:cs="Times New Roman" w:eastAsia="Times New Roman"/>
          <w:b w:val="false"/>
          <w:sz w:val="26"/>
        </w:rPr>
        <w:t>Trong thời hạn ba (03) ngày làm việc, kể từ ngày nhận đủ hồ sơ hợp lệ, cơ quan tiếp nhận hồ sơ có trách nhiệm cấp giấy chứng nhận đăng ký hoạt động thư viện tư nhân. Trong trường hợp từ chối phải có ý kiến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ba (03) ngày làm việc, kể từ ngày nhận đủ hồ sơ hợp lệ, cơ quan tiếp nhận hồ sơ có trách nhiệm cấp giấy chứng nhận đăng ký hoạt động thư viện tư nhân. Trong trường hợp từ chối phải có ý kiến bằng văn bản và nêu rõ lý do.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đăng ký hoạt động thư viện (Mẫu 1 ban hành kèm theo Nghị định số 02/2009/NĐ-CP ngày 06 tháng 01 năm 2009);</w:t>
            </w:r>
          </w:p>
        </w:tc>
        <w:tc>
          <w:p/>
          <w:p>
            <w:pPr>
              <w:spacing w:after="0" w:before="0" w:lineRule="auto" w:line="276"/>
              <w:jc w:val="left"/>
            </w:pPr>
            <w:r>
              <w:rPr>
                <w:rFonts w:ascii="Times New Roman" w:hAnsi="Times New Roman" w:cs="Times New Roman" w:eastAsia="Times New Roman"/>
                <w:b w:val="false"/>
                <w:sz w:val="26"/>
              </w:rPr>
              <w:t>Mau so 1.ND02.2009.thu vien.docx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Danh mục vốn tài liệu thư viện hiện có (Mẫu 2 ban hành kèm theo Nghị định số 02/2009/NĐ-CP ngày 06 tháng 01 năm 2009);</w:t>
            </w:r>
          </w:p>
        </w:tc>
        <w:tc>
          <w:p/>
          <w:p>
            <w:pPr>
              <w:spacing w:after="0" w:before="0" w:lineRule="auto" w:line="276"/>
              <w:jc w:val="left"/>
            </w:pPr>
            <w:r>
              <w:rPr>
                <w:rFonts w:ascii="Times New Roman" w:hAnsi="Times New Roman" w:cs="Times New Roman" w:eastAsia="Times New Roman"/>
                <w:b w:val="false"/>
                <w:sz w:val="26"/>
              </w:rPr>
              <w:t>Mau so 2.ND02.2009.thu vien.docx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Sơ yếu lý lịch của người đứng tên thành lập thư viện có xác nhận của Ủy ban nhân dân cấp xã nơi cư trú;</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Nội quy thư viện.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hoạt động thư viện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72/2002/NĐ-CP</w:t>
            </w:r>
          </w:p>
        </w:tc>
        <w:tc>
          <w:p/>
          <w:p>
            <w:pPr>
              <w:spacing w:after="0" w:before="0" w:lineRule="auto" w:line="276"/>
              <w:jc w:val="left"/>
            </w:pPr>
            <w:r>
              <w:rPr>
                <w:rFonts w:ascii="Times New Roman" w:hAnsi="Times New Roman" w:cs="Times New Roman" w:eastAsia="Times New Roman"/>
                <w:b w:val="false"/>
                <w:sz w:val="26"/>
              </w:rPr>
              <w:t>Nghị định 72/2002/NĐ-CP</w:t>
            </w:r>
          </w:p>
        </w:tc>
        <w:tc>
          <w:p/>
          <w:p>
            <w:pPr>
              <w:spacing w:after="0" w:before="0" w:lineRule="auto" w:line="276"/>
              <w:jc w:val="left"/>
            </w:pPr>
            <w:r>
              <w:rPr>
                <w:rFonts w:ascii="Times New Roman" w:hAnsi="Times New Roman" w:cs="Times New Roman" w:eastAsia="Times New Roman"/>
                <w:b w:val="false"/>
                <w:sz w:val="26"/>
              </w:rPr>
              <w:t>06-08-2002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02/2009/NĐ-CP</w:t>
            </w:r>
          </w:p>
        </w:tc>
        <w:tc>
          <w:p/>
          <w:p>
            <w:pPr>
              <w:spacing w:after="0" w:before="0" w:lineRule="auto" w:line="276"/>
              <w:jc w:val="left"/>
            </w:pPr>
            <w:r>
              <w:rPr>
                <w:rFonts w:ascii="Times New Roman" w:hAnsi="Times New Roman" w:cs="Times New Roman" w:eastAsia="Times New Roman"/>
                <w:b w:val="false"/>
                <w:sz w:val="26"/>
              </w:rPr>
              <w:t>Nghị định 02/2009/NĐ-CP</w:t>
            </w:r>
          </w:p>
        </w:tc>
        <w:tc>
          <w:p/>
          <w:p>
            <w:pPr>
              <w:spacing w:after="0" w:before="0" w:lineRule="auto" w:line="276"/>
              <w:jc w:val="left"/>
            </w:pPr>
            <w:r>
              <w:rPr>
                <w:rFonts w:ascii="Times New Roman" w:hAnsi="Times New Roman" w:cs="Times New Roman" w:eastAsia="Times New Roman"/>
                <w:b w:val="false"/>
                <w:sz w:val="26"/>
              </w:rPr>
              <w:t>06-01-2009</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31/2000/PL-UBTVQH10</w:t>
            </w:r>
          </w:p>
        </w:tc>
        <w:tc>
          <w:p/>
          <w:p>
            <w:pPr>
              <w:spacing w:after="0" w:before="0" w:lineRule="auto" w:line="276"/>
              <w:jc w:val="left"/>
            </w:pPr>
            <w:r>
              <w:rPr>
                <w:rFonts w:ascii="Times New Roman" w:hAnsi="Times New Roman" w:cs="Times New Roman" w:eastAsia="Times New Roman"/>
                <w:b w:val="false"/>
                <w:sz w:val="26"/>
              </w:rPr>
              <w:t>Pháp lệnh Thư viện số 31/2000/PL-UBTVQH10 ngày 28/12/2000. Có hiệu lực từ ngày 01/4/2001.</w:t>
            </w:r>
          </w:p>
        </w:tc>
        <w:tc>
          <w:p/>
          <w:p>
            <w:pPr>
              <w:spacing w:after="0" w:before="0" w:lineRule="auto" w:line="276"/>
              <w:jc w:val="left"/>
            </w:pPr>
            <w:r>
              <w:rPr>
                <w:rFonts w:ascii="Times New Roman" w:hAnsi="Times New Roman" w:cs="Times New Roman" w:eastAsia="Times New Roman"/>
                <w:b w:val="false"/>
                <w:sz w:val="26"/>
              </w:rPr>
              <w:t>28-12-2000</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01/2012/NĐ-CP</w:t>
            </w:r>
          </w:p>
        </w:tc>
        <w:tc>
          <w:p/>
          <w:p>
            <w:pPr>
              <w:spacing w:after="0" w:before="0" w:lineRule="auto" w:line="276"/>
              <w:jc w:val="left"/>
            </w:pPr>
            <w:r>
              <w:rPr>
                <w:rFonts w:ascii="Times New Roman" w:hAnsi="Times New Roman" w:cs="Times New Roman" w:eastAsia="Times New Roman"/>
                <w:b w:val="false"/>
                <w:sz w:val="26"/>
              </w:rPr>
              <w:t>Nghị định 01/2012/NĐ-CP</w:t>
            </w:r>
          </w:p>
        </w:tc>
        <w:tc>
          <w:p/>
          <w:p>
            <w:pPr>
              <w:spacing w:after="0" w:before="0" w:lineRule="auto" w:line="276"/>
              <w:jc w:val="left"/>
            </w:pPr>
            <w:r>
              <w:rPr>
                <w:rFonts w:ascii="Times New Roman" w:hAnsi="Times New Roman" w:cs="Times New Roman" w:eastAsia="Times New Roman"/>
                <w:b w:val="false"/>
                <w:sz w:val="26"/>
              </w:rPr>
              <w:t>04-01-2012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Có vốn tài liệu ban đầu về một hay nhiều môn loại tri thức khoa học với số lượng ít nhất là 500 bản sách và 1 tên ấn phẩm định kỳ, được xử lý theo quy tắc nghiệp vụ thư viện.
(2)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
(3)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
(4) Người đứng tên thành lập và làm việc trong thư viện:
a) Người đứng tên thành lập thư viện phải có quốc tịch Việt Nam, đủ 18 tuổi trở lên; có đầy đủ năng lực pháp lý và năng lực hành vi; am hiểu về sách báo và lĩnh vực thư viện.
b) Người làm việc trong thư viện phải tốt nghiệp trung học phổ thông trở lên và được bồi dưỡng kiến thức về nghiệp vụ thư viện.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2024-03-28T23:23:45Z</dcterms:created>
  <dc:creator>Apache POI</dc:creator>
</cp:coreProperties>
</file>