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1.005460.000.00.00.H56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5588/QĐ-UBND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tố cáo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tố cáo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Thụ lý tố cáo 
          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pPr>
        <w:spacing w:after="0" w:before="0" w:lineRule="auto" w:line="276"/>
        <w:jc w:val="both"/>
      </w:pPr>
      <w:r>
        <w:rPr>
          <w:rFonts w:ascii="Times New Roman" w:hAnsi="Times New Roman" w:cs="Times New Roman" w:eastAsia="Times New Roman"/>
          <w:b w:val="false"/>
          <w:sz w:val="26"/>
        </w:rPr>
        <w:t>Bước 2: Xác minh nội dung tố cáo 
          1. Chủ tịch UBND xã tiến hành xác minh nội dung tố cáo hoặc giao cho công chức cấp xã tiến hành các minh (gọi chung là người xác minh nội dung tố cáo). Việc giao xác minh nội dung tố cáo phải thực hiện bằng văn bản. 
         2. Trường hợp người giải quyết tố cáo giao cho công chức cấp xã xác minh nội dung tố cáo thì văn bản giao xác minh nội dung tố cáo thực hiện theo quy định tại khoản 2 Điều 31 Luật Tố cáo.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w:t>
      </w:r>
    </w:p>
    <w:p>
      <w:pPr>
        <w:spacing w:after="0" w:before="0" w:lineRule="auto" w:line="276"/>
        <w:jc w:val="both"/>
      </w:pPr>
      <w:r>
        <w:rPr>
          <w:rFonts w:ascii="Times New Roman" w:hAnsi="Times New Roman" w:cs="Times New Roman" w:eastAsia="Times New Roman"/>
          <w:b w:val="false"/>
          <w:sz w:val="26"/>
        </w:rPr>
        <w:t>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pPr>
        <w:spacing w:after="0" w:before="0" w:lineRule="auto" w:line="276"/>
        <w:jc w:val="both"/>
      </w:pPr>
      <w:r>
        <w:rPr>
          <w:rFonts w:ascii="Times New Roman" w:hAnsi="Times New Roman" w:cs="Times New Roman" w:eastAsia="Times New Roman"/>
          <w:b w:val="false"/>
          <w:sz w:val="26"/>
        </w:rPr>
        <w:t>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gửi đơn tố cáo qua mạng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 cáo được thực hiện bằng đơn (gửi qua đường bưu điện hoặc gửi trực tiếp đến cơ quan, người có thẩm quyền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tố cáo hoặc bản ghi lời tố cáo</w:t>
            </w:r>
          </w:p>
        </w:tc>
        <w:tc>
          <w:p/>
          <w:p>
            <w:pPr>
              <w:spacing w:after="0" w:before="0" w:lineRule="auto" w:line="276"/>
              <w:jc w:val="left"/>
            </w:pPr>
            <w:r>
              <w:rPr>
                <w:rFonts w:ascii="Times New Roman" w:hAnsi="Times New Roman" w:cs="Times New Roman" w:eastAsia="Times New Roman"/>
                <w:b w:val="false"/>
                <w:sz w:val="26"/>
              </w:rPr>
              <w:t>Mẫu Thông tư 06-2013.docx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tố cáo</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Kết luận nội dung tố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số 25/2018/QH14</w:t>
            </w:r>
          </w:p>
        </w:tc>
        <w:tc>
          <w:p/>
          <w:p>
            <w:pPr>
              <w:spacing w:after="0" w:before="0" w:lineRule="auto" w:line="276"/>
              <w:jc w:val="left"/>
            </w:pPr>
            <w:r>
              <w:rPr>
                <w:rFonts w:ascii="Times New Roman" w:hAnsi="Times New Roman" w:cs="Times New Roman" w:eastAsia="Times New Roman"/>
                <w:b w:val="false"/>
                <w:sz w:val="26"/>
              </w:rPr>
              <w:t>Luật tố cáo</w:t>
            </w:r>
          </w:p>
        </w:tc>
        <w:tc>
          <w:p/>
          <w:p>
            <w:pPr>
              <w:spacing w:after="0" w:before="0" w:lineRule="auto" w:line="276"/>
              <w:jc w:val="left"/>
            </w:pPr>
            <w:r>
              <w:rPr>
                <w:rFonts w:ascii="Times New Roman" w:hAnsi="Times New Roman" w:cs="Times New Roman" w:eastAsia="Times New Roman"/>
                <w:b w:val="false"/>
                <w:sz w:val="26"/>
              </w:rPr>
              <w:t>12-06-2018</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xml:space="preserve">          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tố cáo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2024-03-29T04:37:18Z</dcterms:created>
  <dc:creator>Apache POI</dc:creator>
</cp:coreProperties>
</file>