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1.006883</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3462/QĐ-UBND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Thu hồi Giấy chứng nhận đã cấp không đúng quy định của pháp luật đất đai do người sử dụng đất, chủ sở hữu tài sản gắn liền với đất phát hiện.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Trình tự thực hiện
a. Thời gian tiếp nhận và trả kết quả: Trong giờ hành chính các ngày từ thứ 2 đến thứ 6 hàng tuần (trừ các ngày nghỉ Lễ, Tết theo quy định).
b. Địa điểm tiếp nhận và trả kết quả: Bộ phận tiếp nhận và trả kết quả thuộc Văn phòng HĐND và UBND cấp huyện. 
Hộ gia đình, cá nhân, cộng đồng dân cư nộp hồ sơ tại Ủy ban nhân dân cấp xã nếu có nhu cầu. Trường hợp nộp hồ sơ tại cấp xã thì trong thời hạn 05 ngày làm việc kể từ ngày nhận đủ hồ sơ, Ủy ban nhân dân cấp xã phải chuyển hồ sơ đến Văn phòng đăng ký quyền sử dụng đất hoặc phòng Tài nguyên và Môi trường đối với nơi chưa thành lập Văn phòng đăng ký quyền sử dụng đất (gọi tắt là phòng TN&amp;MT).
Bước 1: Người sử dụng đất, chủ sở hữu tài sản gắn liền với đất chuẩn bị hồ sơ theo quy định.
Trường hợp nhận hồ sơ chưa đầy đủ, chưa hợp lệ thì trong thời gian tối đa 03 ngày, cơ quan tiếp nhận, xử lý hồ sơ phải thông báo và hướng dẫn người nộp hồ sơ bổ sung, hoàn chỉnh hồ sơ theo quy định. 
Bước 2: Trong thời hạn 04 ngày làm việc, Văn phòng Đăng ký quyền sử dụng đất hoặc Phòng TN&amp;MT có trách nhiệm:
+ Kiểm tra hồ sơ, trình UBND cấp huyện thông báo cho người sử dụng đất biết rõ lý do thu hồi Giấy chứng nhận;
+ Sau 30 ngày kể từ ngày gửi thông báo cho người sử dụng đất mà không có đơn khiếu nại thì lập hồ sơ trình UBND cấp huyện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
- Trong thời hạn 05 ngày làm việc, kể từ ngày nhận được Tờ trình kèm theo hồ sơ của Văn phòng Đăng ký quyền sử dụng đất hoặc Phòng TN&amp;MT chuyển đến, UBND cấp huyện ra quyết định thu hồi Giấy chứng nhận đã cấp. 
- Trong thời hạn 01 ngày làm việc, Văn phòng Đăng ký quyền sử dụng đất hoặc Phòng TN&amp;MT thực hiện việc thu hồi và quản lý Giấy chứng nhận đã thu hồi theo quyết định thu hồi Giấy chứng nhận của cơ quan có thẩm quyền.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làm việc, trong đó:
- Tại Văn phòng Đăng ký quyền sử dụng đất cấp huyện hoặc Phòng TN&amp;MT: 05 ngày làm việc;
- Tại Ủy ban nhân dân cấp huyện: 05 ngày làm việc
Thời gian trên không tính thời gian 30 ngày thông báo thu hồi; không tính thời gian tiếp nhận hồ sơ tại xã;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10 ngày làm việc, trong đó:
- Tại Văn phòng Đăng ký quyền sử dụng đất cấp huyện hoặc Phòng TN&amp;MT: 05 ngày làm việc;
- Tại Ủy ban nhân dân cấp huyện: 05 ngày làm việc
Thời gian trên không tính thời gian 30 ngày thông báo thu hồi; không tính thời gian tiếp nhận hồ sơ tại xã;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phản ánh việc cấp Giấy chứng nhận không đúng quy định: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và UBND cấp huyện.  Hộ gia đình, cá nhân, cộng đồng dân cư nộp hồ sơ tại Ủy ban nhân dân cấp xã nếu có nhu cầu. Trường hợp nộp hồ sơ tại cấp xã thì trong thời hạn 05 ngày làm việc kể từ ngày nhận đủ hồ sơ, Ủy ban nhân dân cấp xã phải chuyển hồ sơ đến Văn phòng đăng ký quyền sử dụng đất hoặc phòng Tài nguyên và Môi trường đối với nơi chưa thành lập Văn phòng đăng ký quyền sử dụng đất (gọi tắt là phòng TN&amp;MT).</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Cơ quan Thanh tra</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(2) Một trong các loại giấy tờ quy định tại Điều 100 của Luật đất đai, Điều 18 của Nghị định số 43/2014/NĐ-CP và Khoản 16 Điều 2 của Nghị định số 01/2017/NĐ-CP của thửa đất gốc;, Ghi vào sổ địa chính và lập hồ sơ để Nhà nước quản lý, Quyết định thu hồi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Luật 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23/2014/TT-BTNMT	</w:t>
            </w:r>
          </w:p>
        </w:tc>
        <w:tc>
          <w:p/>
          <w:p>
            <w:pPr>
              <w:spacing w:after="0" w:before="0" w:lineRule="auto" w:line="276"/>
              <w:jc w:val="left"/>
            </w:pPr>
            <w:r>
              <w:rPr>
                <w:rFonts w:ascii="Times New Roman" w:hAnsi="Times New Roman" w:cs="Times New Roman" w:eastAsia="Times New Roman"/>
                <w:b w:val="false"/>
                <w:sz w:val="26"/>
              </w:rPr>
              <w:t>Thông tư 23/2014/TT-BTNMT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07/2019/QĐ-UBND</w:t>
            </w:r>
          </w:p>
        </w:tc>
        <w:tc>
          <w:p/>
          <w:p>
            <w:pPr>
              <w:spacing w:after="0" w:before="0" w:lineRule="auto" w:line="276"/>
              <w:jc w:val="left"/>
            </w:pPr>
            <w:r>
              <w:rPr>
                <w:rFonts w:ascii="Times New Roman" w:hAnsi="Times New Roman" w:cs="Times New Roman" w:eastAsia="Times New Roman"/>
                <w:b w:val="false"/>
                <w:sz w:val="26"/>
              </w:rPr>
              <w:t>Về việc ban hành Quy định cơ quan tiếp nhận, giải quyết thủ tục; thời gian các bước thực hiện thủ tục đăng ký đất đai, tài sản gắn liền với đất, cấp giấy chứng nhận quyền sử dụng đất, quyền sở hữu nhà ở và tài sản khác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28-03-2019</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2024-03-29T12:15:53Z</dcterms:created>
  <dc:creator>Apache POI</dc:creator>
</cp:coreProperties>
</file>