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1.006890</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3462/QĐ-UBND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Đăng ký và cấp Giấy chứng nhận quyền sử dụng đất, quyền sở hữu nhà ở và tài sản khác gắn liền với đất lần đầu.</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Đất đai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CDATA[. Trình tự thực hiện
a. Thời gian tiếp nhận và trả kết quả: Trong giờ hành chính các ngày từ thứ 2 đến thứ 6 hàng tuần (trừ các ngày nghỉ Lễ, Tết theo quy định).
b. Địa điểm tiếp nhận và trả kết quả: Bộ phận tiếp nhận và trả kết quả thuộc Văn phòng HĐND và UBND cấp huyện. Hộ gia đình, cá nhân, cộng đồng dân cư nộp hồ sơ tại Ủy ban nhân dân cấp xã nếu có nhu cầu. 
Bước 1: Người sử dụng đất chuẩn bị đầy đủ hồ sơ theo quy định.
Trường hợp nhận hồ sơ chưa đầy đủ, chưa hợp lệ thì trong thời gian tối đa 03 ngày làm việc, cơ quan tiếp nhận, xử lý hồ sơ phải thông báo và hướng dẫn người nộp hồ sơ bổ sung, hoàn chỉnh hồ sơ theo quy định. 
Bước 2: 
(1) Cơ quan tiếp nhận hồ sơ có trách nhiệm ghi đầy đủ thông tin vào Sổ tiếp nhận hồ sơ và trả kết quả và trao Phiếu tiếp nhận hồ sơ và trả kết quả cho người nộp hồ sơ.
- Trường hợp hộ gia đình, cá nhân, cộng đồng dân cư nộp hồ sơ tại Ủy ban nhân dân cấp xã thì trong thời hạn 05 ngày làm việc kể từ ngày nhận đủ hồ sơ (không bao gồm thời gian niêm yết công khai kết quả kiểm tra hồ sơ), Ủy ban nhân dân cấp xã thực hiện:
+ Thông báo cho Văn phòng đăng ký quyền sử dụng đất hoặc Phòng Tài nguyên và Môi trường đối với nơi chưa thành lập VPĐK (gọi tắt là phòng TN&MT) thực hiện trích đo địa chính thửa đất hoặc kiểm tra bản trích đo địa chính thửa đất do người sử dụng đất nộp (nếu có) đối với nơi chưa có bản đồ địa chính.
+ Kiểm tra hồ sơ; xác nhận hiện trạng sử dụng đất, hiện trạng tài sản gắn liền với đất so với nội dung kê khai đăng ký; xác nhận nguồn gốc và thời điểm sử dụng đất, tình trạng tranh chấp đất, sự phù hợp với quy hoạch đối với trường hợp không có giấy tờ hợp lệ về quyền sử dụng đất; xác nhận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
+ Niêm yết công khai kết quả kiểm tra hồ sơ, xác nhận hiện trạng, tình trạng tranh chấp, nguồn gốc và thời điểm sử dụng đất tại trụ sở Ủy ban nhân dân cấp xã và khu dân cư nơi có đất, tài sản gắn liền với đất trong thời hạn 15 ngày; xem xét giải quyết các ý kiến phản ánh về nội dung công khai và gửi hồ sơ đến Văn phòng đăng ký quyền sử dụng đất hoặc phòng TN&MT.
- Trường hợp nộp hồ sơ tại Bộ phận tiếp nhận và trả kết quả thuộc Văn phòng HĐND và UBND cấp huyện thì Văn phòng đăng ký quyền sử dụng đất hoặc phòng TN&MT, trong thời hạn 08 ngày thực hiện các công việc như sau:
+ Gửi hồ sơ đến Ủy ban nhân dân cấp xã để lấy ý kiến xác nhận hiện trạng sử dụng đất, hiện trạng tài sản gắn liền với đất so với nội dung kê khai đăng ký; xác nhận nguồn gốc và thời điểm sử dụng đất, tình trạng tranh chấp đất, sự phù hợp với quy hoạch đối với trường hợp không có giấy tờ hợp lệ về quyền sử dụng đất; xác nhận tình trạng tranh chấp quyền sở hữu tài sản đối với trường hợp không có giấy tờ về quyền sở hữu tài sản;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 niêm yết công khai kết quả kiểm tra hồ sơ trong thời hạn 15 ngày, xác nhận hiện trạng, tình trạng tranh chấp, nguồn gốc và thời điểm sử dụng đất; xem xét giải quyết các ý kiến phản ánh về nội dung công khai và gửi hồ sơ đến Văn phòng đăng ký quyền sử dụng đất đối với trường hợp hộ gia đình, cá nhân, cộng đồng dân cư nộp hồ sơ tại Văn phòng đăng ký quyền sử dụng đất. Thời gian UBND cấp xã thực hiện các công việc trên là 05 ngày làm việc (không bao gồm thời gian niêm yết kết quả kiểm tra hồ sơ).
+ Trích lục bản đồ địa chính hoặc trích đo địa chính thửa đất ở nơi chưa có bản đồ địa chính hoặc đã có bản đồ địa chính nhưng hiện trạng ranh giới sử dụng đất đã thay đổi hoặc kiểm tra bản trích đo địa chính thửa đất do người sử dụng đất nộp (nếu có);
+ Kiểm tra, xác nhận sơ đồ tài sản gắn liền với đất đối với hộ gia đình, cá nhân, người Việt Nam định cư ở nước ngoài thực hiện dự án đầu tư mà sơ đồ đó chưa có xác nhận của tổ chức có tư cách pháp nhân về hoạt động xây dựng hoặc hoạt động đo đạc bản đồ.
+ Kiểm tra hồ sơ đăng ký; xác minh thực địa trong trường hợp cần thiết; 
+ Gửi phiếu lấy ý kiến cơ quan quản lý nhà nước đối với loại tài sản đăng ký đối với trường hợp chủ sở hữu tài sản gắn liền với đất không có giấy tờ hoặc hiện trạng tài sản có thay đổi so với giấy tờ theo quy định.
(2) Trong thời hạn 05 ngày làm việc, kể từ ngày nhận được phiếu xin ý kiến, Cơ quan quản lý nhà nước đối với tài sản gắn liền với đất có trách nhiệm trả lời bằng văn bản cho Văn phòng đăng ký quyền sử dụng đất hoặc phòng TN&MT.
(3) Trong thời hạn 02 ngày làm việc, Văn phòng đăng ký quyền sử dụng đất hoặc phòng TN&MT thực hiện các công việc như sau:
+ Xác nhận đủ điều kiện hay không đủ điều kiện được cấp Giấy chứng nhận vào đơn đăng ký;
+ Gửi số liệu địa chính đến cơ quan thuế để xác định và thông báo thu nghĩa vụ tài chính (trừ trường hợp không thuộc đối tượng phải nộp nghĩa vụ tài chính hoặc được ghi nợ theo quy định của pháp luật); chuẩn bị hồ sơ để Phòng Tài nguyên và Môi trường trình UBND cấp huyện ký cấp Giấy chứng nhận.
(4) Trong thời hạn 05 ngày làm việc, kể từ ngày nhận đủ hồ sơ hợp lệ do Văn phòng đăng ký quyền sử dụng đất hoặc phòng TN&MT chuyển đến, Cơ quan thuế xác định và thông báo thu nghĩa vụ tài chính đối với trường hợp phải thực hiện nghĩa vụ tài chính theo quy định.
(5) Trường hợp người sử dụng đất đã nộp chứng từ hoàn thành nghĩa vụ tài chính (hoặc đã ký hợp đồng thuê đất hoặc được miễn nghĩa vụ tài chính liên quan đến thủ tục hành chính), trong thời hạn 03 ngày làm việc, kể từ ngày nhận được Tờ trình kèm theo hồ sơ của Văn phòng đăng ký quyền sử dụng đất hoặc phòng TN&MT chuyển đến, UBND cấp huyện ký Giấy chứng nhận theo quy định. 
(6) Trong thời hạn 02 ngày làm việc, Văn phòng đăng ký quyền sử dụng đất có trách nhiệm:
+ Cập nhật bổ sung việc cấp Giấy chứng nhận vào hồ sơ địa chính, cơ sở dữ liệu đất đai (nếu có); 
  + Trao Giấy chứng nhận cho người được cấp đã nộp chứng từ hoàn thành nghĩa vụ tài chính (hoặc đã ký hợp đồng thuê đất hoặc được miễn nghĩa vụ tài chính liên quan đến thủ tục hành chính) hoặc gửi Giấy chứng nhận cho Ủy ban nhân dân cấp xã để trao cho người được cấp đối với trường hợp hộ gia đình, cá nhân, cộng đồng dân cư nộp hồ sơ tại cấp xã. 
+ Xác nhận vào bản chính giấy tờ việc đã cấp Giấy chứng nhận theo quy định.
(7) Người được cấp Giấy chứng nhận nhận lại bản chính giấy tờ đã được xác nhận cấp Giấy chứng nhận và Giấy chứng nhận.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25 Ngày làm việc</w:t>
            </w:r>
          </w:p>
        </w:tc>
        <w:tc>
          <w:p/>
          <w:p>
            <w:pPr>
              <w:spacing w:after="0" w:before="0" w:lineRule="auto" w:line="276"/>
              <w:jc w:val="left"/>
            </w:pPr>
            <w:r>
              <w:rPr>
                <w:rFonts w:ascii="Times New Roman" w:hAnsi="Times New Roman" w:cs="Times New Roman" w:eastAsia="Times New Roman"/>
                <w:b w:val="false"/>
                <w:sz w:val="26"/>
              </w:rPr>
              <w:t xml:space="preserve">Lệ phí : file đính kèm </w:t>
              <w:br/>
              <w:t>File đính kèm: Lệ phí địa chính 12.docx</w:t>
            </w:r>
          </w:p>
        </w:tc>
        <w:tc>
          <w:p/>
          <w:p>
            <w:pPr>
              <w:spacing w:after="0" w:before="0" w:lineRule="auto" w:line="276"/>
              <w:jc w:val="left"/>
            </w:pPr>
            <w:r>
              <w:rPr>
                <w:rFonts w:ascii="Times New Roman" w:hAnsi="Times New Roman" w:cs="Times New Roman" w:eastAsia="Times New Roman"/>
                <w:b w:val="false"/>
                <w:sz w:val="26"/>
              </w:rPr>
              <w:t>25 ngày làm việc, trong đó:
- Tại Văn phòng Đăng ký quyền sử dụng đất cấp huyện hoặc phòng TN&amp;MT: 12 ngày làm việc;
- Xin ý kiến Cơ quan quản lý nhà nước đối với tài sản gắn liền với đất (nếu có): 05 ngày làm việc;
- Tại Cơ quan thuế (đối với trường hợp người sử dụng đất, chủ sở hữu tài sản gắn liền với đất phải thực hiện nghĩa vụ tài chính): 05 ngày làm việc;
- Tại Ủy ban nhân dân cấp huyện: 03 ngày làm việc.
Thời gian trên không tính thời gian tiếp nhận, giải quyết, niêm yết tại UBND cấp xã; không tính thời gian thực hiện nghĩa vụ tài chính của người sử dụng đất; không tính thời gian xem xét xử lý đối với trường hợp sử dụng đất có vi phạm pháp luật, thời gian trưng cầu giám định.
Đối với các xã miền núi, hải đảo, vùng sâu, vùng xa, vùng có điều kiện kinh tế - xã hội khó khăn, vùng có điều kiện kinh tế - xã hội đặc biệt khó khăn thì thời gian thực hiện được tăng thêm 10 ngày làm việc.
</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25 Ngày làm việc</w:t>
            </w:r>
          </w:p>
        </w:tc>
        <w:tc>
          <w:p/>
          <w:p>
            <w:pPr>
              <w:spacing w:after="0" w:before="0" w:lineRule="auto" w:line="276"/>
              <w:jc w:val="left"/>
            </w:pPr>
            <w:r>
              <w:rPr>
                <w:rFonts w:ascii="Times New Roman" w:hAnsi="Times New Roman" w:cs="Times New Roman" w:eastAsia="Times New Roman"/>
                <w:b w:val="false"/>
                <w:sz w:val="26"/>
              </w:rPr>
              <w:t xml:space="preserve">Lệ phí : file đính kèm </w:t>
              <w:br/>
              <w:t>File đính kèm: Lệ phí địa chính 12.docx</w:t>
            </w:r>
          </w:p>
        </w:tc>
        <w:tc>
          <w:p/>
          <w:p>
            <w:pPr>
              <w:spacing w:after="0" w:before="0" w:lineRule="auto" w:line="276"/>
              <w:jc w:val="left"/>
            </w:pPr>
            <w:r>
              <w:rPr>
                <w:rFonts w:ascii="Times New Roman" w:hAnsi="Times New Roman" w:cs="Times New Roman" w:eastAsia="Times New Roman"/>
                <w:b w:val="false"/>
                <w:sz w:val="26"/>
              </w:rPr>
              <w:t>25 ngày làm việc, trong đó:
- Tại Văn phòng Đăng ký quyền sử dụng đất cấp huyện hoặc phòng TN&amp;MT: 12 ngày làm việc;
- Xin ý kiến Cơ quan quản lý nhà nước đối với tài sản gắn liền với đất (nếu có): 05 ngày làm việc;
- Tại Cơ quan thuế (đối với trường hợp người sử dụng đất, chủ sở hữu tài sản gắn liền với đất phải thực hiện nghĩa vụ tài chính): 05 ngày làm việc;
- Tại Ủy ban nhân dân cấp huyện: 03 ngày làm việc.
Thời gian trên không tính thời gian tiếp nhận, giải quyết, niêm yết tại UBND cấp xã; không tính thời gian thực hiện nghĩa vụ tài chính của người sử dụng đất; không tính thời gian xem xét xử lý đối với trường hợp sử dụng đất có vi phạm pháp luật, thời gian trưng cầu giám định.
Đối với các xã miền núi, hải đảo, vùng sâu, vùng xa, vùng có điều kiện kinh tế - xã hội khó khăn, vùng có điều kiện kinh tế - xã hội đặc biệt khó khăn thì thời gian thực hiện được tăng thêm 10 ngày làm việc.
</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3.1. Hồ sơ địa chính:</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(2) Một trong các loại giấy tờ về quyền sử dụng đất (bản sao một trong các giấy tờ đã có công chứng hoặc chứng thực hoặc bản sao giấy tờ và xuất trình bản chính để cán bộ tiếp nhận hồ sơ kiểm tra đối chiếu và xác nhận vào bản sao hoặc bản chính): (2.1)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 (2.2) Giấy chứng nhận quyền sử dụng đất tạm thời được cơ quan nhà nước có thẩm quyền cấp hoặc có tên trong Sổ đăng ký ruộng đất, Sổ địa chính trước ngày 15 tháng 10 năm 1993;  (2.3) Giấy tờ hợp pháp về thừa kế, tặng cho quyền sử dụng đất hoặc tài sản gắn liền với đất; giấy tờ giao nhà tình nghĩa, nhà tình thương gắn liền với đất; (2.4) Giấy tờ chuyển nhượng quyền sử dụng đất, mua bán nhà ở gắn liền với đất ở trước ngày 15 tháng 10 năm 1993 được Ủy ban nhân dân cấp xã xác nhận là đã sử dụng trước ngày 15 tháng 10 năm 1993; (2.5) Giấy tờ thanh lý, hóa giá nhà ở gắn liền với đất ở; giấy tờ mua nhà ở thuộc sở hữu nhà nước theo quy định của pháp luật; (2.6) Giấy tờ về quyền sử dụng đất do cơ quan có thẩm quyền thuộc chế độ cũ cấp cho người sử dụng đất; (2.7) Một trong các giấy tờ lập trước ngày 15 tháng 10 năm 1993 có tên người sử dụng đất, bao gồm: - Sổ mục kê đất, sổ kiến điền lập trước ngày 18 tháng 12 năm 1980. -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  + Biên bản xét duyệt của Hội đồng đăng ký ruộng đất cấp xã xác định người đang sử dụng đất là hợp pháp;   + Bản tổng hợp các trường hợp sử dụng đất hợp pháp do Ủy ban nhân dân cấp xã hoặc Hội đồng đăng ký ruộng đất cấp xã hoặc cơ quan quản lý đất đai cấp huyện, cấp tỉnh lập;  + Đơn xin đăng ký quyền sử dụng ruộng đất đối với trường hợp không có biên bản xét duyệt và Bản tổng hợp các trường hợp sử dụng đất hợp pháp. Trường hợp trong đơn xin đăng ký quyền sử dụng ruộng đất có sự khác nhau giữa thời điểm làm đơn và thời điểm xác nhận thì thời điểm xác lập đơn được tính theo thời điểm sớm nhất ghi trong đơn. + Giấy tờ về việc chứng nhận đã đăng ký quyền sử dụng đất của Ủy ban nhân dân cấp xã, cấp huyện hoặc cấp tỉnh cấp cho người sử dụng đất; + Giấy tờ về việc kê khai đăng ký nhà cửa được Ủy ban nhân dân cấp xã, cấp huyện hoặc cấp tỉnh xác nhận mà trong đó có ghi diện tích đất có nhà ở; + Giấy tờ của đơn vị quốc phòng giao đất cho cán bộ, chiến sỹ làm nhà ở trước ngày 15 tháng 10 năm 1993 theo Chỉ thị số 282/CT-QP ngày 11 tháng 7 năm 1991 của Bộ trưởng Bộ Quốc phòng mà việc giao đất đó phù hợp với quy hoạch sử dụng đất làm nhà ở của cán bộ, chiến sỹ trong quy hoạch đất quốc phòng đã được cơ quan có thẩm quyền phê duyệt.” - Dự án hoặc danh sách hoặc văn bản về việc di dân đi xây dựng khu kinh tế mới, di dân tái định cư được Ủy ban nhân dân cấp huyện, cấp tỉnh hoặc cơ quan nhà nước có thẩm quyền phê duyệt. - Giấy tờ của nông trường, lâm trường quốc doanh về việc giao đất cho người lao động trong nông trường, lâm trường để làm nhà ở (nếu có). - Giấy tờ có nội dung về quyền sở hữu nhà ở, công trình; về việc xây dựng, sửa chữa nhà ở, công trình được Ủy ban nhân dân cấp huyện, cấp tỉnh hoặc cơ quan quản lý nhà nước về nhà ở, xây dựng chứng nhận hoặc cho phép. -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 -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 (2.8) Bản sao các giấy tờ lập trước ngày 15 tháng 10 năm 1993 có tên người sử dụng đất nêu tại điểm 2.7 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 (2.9) Một trong các giấy tờ về quyền sử dụng đất nêu tại các điểm 2.1 đến 2.8 trên đây mà trên giấy tờ đó ghi tên người khác, kèm theo giấy tờ về việc chuyển quyền sử dụng đất có chữ ký của các bên có liên quan. (2.10)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 (2.11) Hộ gia đình, cá nhân đang sử dụng đất có quyết định giao đất, cho thuê đất của cơ quan nhà nước có thẩm quyền từ ngày 15/10/1993 đến ngày 01/7/2014. (2.12) Giấy xác nhận là đất sử dụng chung cho cộng đồng đối với trường hợp cộng đồng dân cư đang sử dụng đất.</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(3) Một trong các giấy tờ về quyền sở hữu nhà ở đối với trường hợp tài sản là nhà ở (bản sao giấy tờ đã có công chứng hoặc chứng thực hoặc bản sao giấy tờ và xuất trình bản chính để cán bộ tiếp nhận hồ sơ kiểm tra đối chiếu và xác nhận vào bản sao hoặc bản chính): (3.1) Hộ gia đình, cá nhân trong nước phải có một trong các loại giấy tờ sau:                      - Giấy phép xây dựng nhà ở đối với trường hợp phải xin giấy phép xây dựng theo quy định của pháp luật về xây dựng.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 -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 - Giấy tờ về giao hoặc tặng nhà tình nghĩa, nhà tình thương, nhà đại đoàn kết; - Giấy tờ về sở hữu nhà ở do cơ quan có thẩm quyền cấp qua các thời kỳ mà nhà đất đó không thuộc diện Nhà nước xác lập sở hữu toàn dân theo quy định tại Nghị quyết số 23/2003/QH11 ngày 26 tháng 11 năm 2003 của Quốc hội khoá XI về nhà đất do Nhà nước đã quản lý, bố trí sử dụng trong quá trình thực hiện các chính sách về quản lý nhà đất và chính sách cải tạo xã hội chủ nghĩa trước ngày 01 tháng 7 năm 1991, Nghị quyết số 755/2005/NQ-UBTVQH11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 -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kể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 - Bản án hoặc quyết định của Toà án nhân dân hoặc giấy tờ của cơ quan nhà nước có thẩm quyền giải quyết được quyền sở hữu nhà ở đã có hiệu lực pháp luật;  -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về nhà ở không thuộc trường hợp phải xin giấy phép xây dựng và đáp ứng điều kiện về quy hoạch như trường hợp nhà ở xây dựng trước ngày 01 tháng 7 năm 2006; -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 (3.2) Người Việt Nam định cư ở nước ngoài sở hữu nhà ở tại Việt Nam phải có các giấy tờ sau: - Giấy tờ về mua bán hoặc nhận tặng cho hoặc nhận thừa kế nhà ở hoặc được sở hữu nhà ở thông qua hình thức khác theo quy định của pháp luật về nhà ở; - Một trong các giấy tờ của bên chuyển quyền.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(4) Một trong các giấy tờ về quyền sở hữu công trình xây dựng đối với trường hợp tài sản là công trình xây dựng (bản sao giấy tờ đã có chứng nhận hoặc chứng hoặc bản sao giấy tờ và xuất trình bản chính để cán bộ tiếp nhận hồ sơ kiểm tra đối chiếu và xác nhận vào bản sao hoặc bản chính): - Giấy phép xây dựng công trình đối với trường hợp phải xin phép xây dựng theo quy định của pháp luật về xây 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 - Giấy tờ về sở hữu công trình xây dựng do cơ quan có thẩm quyền cấp qua các thời kỳ, trừ trường hợp Nhà nước đã quản lý, bố trí sử dụng; - Giấy tờ mua bán hoặc tặng cho hoặc thừa kế công trình xây dựng theo quy định của pháp luật đã được công chứng hoặc chứng thực theo quy định; - Giấy tờ của Toà án nhân dân hoặc cơ quan nhà nước có thẩm quyền giải quyết được quyền sở hữu công trình xây dựng đã có hiệu lực pháp luật;  -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 Trường hợp người đề nghị chứng nhận quyền sở hữu công trình có một trong những giấy tờ về quyền sở hữu công trình mà hiện trạng công trình không phù hợp với 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Trường hợp công trình hoàn thành xây dựng từ ngày 01/7/2004 thì phải có giấy tờ xác nhận của Ủy ban nhân dân cấp xã về công trình xây dựng không thuộc 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(5) Một trong các giấy tờ về quyền sở hữu rừng sản xuất là rừng trồng đối với trường hợp chứng nhận tài sản rừng sản xuất là rừng trồng (bản sao giấy tờ đã có công chứng hoặc chứng thực hoặc bản sao giấy tờ và xuất trình bản chính để cán bộ tiếp nhận hồ sơ kiểm tra đối chiếu và xác nhận vào bản sao hoặc bản chính):  - Giấy chứng nhận hoặc một trong các giấy tờ về quyền sử dụng đất, quyền sở hưu tài sản gắn liền với đất nêu tại Khoản 2 trên đây mà trong đó xác định Nhà nước giao đất, cho thuê đất, công nhận quyền sử dụng đất để trồng rừng sản xuất; - Giấy tờ về giao rừng sản xuất là rừng trồng; - Hợp đồng hoặc văn bản về việc mua bán hoặc tặng cho hoặc thừa kế đối với rừng sản xuất là rừng trồng đã được công chứng hoặc chứng thực theo quy định của pháp luật; - Bản án, quyết định của Tòa án nhân dân hoặc giấy tờ của cơ quan nhà nước có thẩm quyền giải quyết được quyền sở hữu rừng sản xuất là rừng trồng đã có hiệu lực pháp luật; - Trường hợp hộ gia đình, cá nhân, cộng đồng dân cư không có giấy tờ về quyền sở hữu rừng mà đã trồng rừng sản xuất bằng vốn của mình thì phải được Văn phòng đăng ký quyền sử dụng đất xác nhận có đủ điều kiện được công nhận quyền sử dụng đất theo quy định của pháp luật đất đai;</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(6) Một trong các giấy tờ về quyền sở hữu cây lâu năm đối với trường hợp chứng nhận quyền sở hữu cây lâu năm (bản sao giấy tờ đã có công chứng hoặc chứng thực hoặc bản sao giấy tờ và xuất trình bản chính để cán bộ tiếp nhận hồ sơ kiểm tra đối chiếu và xác nhận vào bản sao hoặc bản chính): -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 - Hợp đồng hoặc văn bản về việc mua bán hoặc tặng cho hoặc thừa kế đối với cây lâu năm đã được công chứng hoặc chứng thực theo quy định; - Bản án, quyết định của Tòa án nhân dân hoặc giấy tờ của cơ quan nhà nước có thẩm quyền giải quyết được quyền sở hữu cây lâu năm đã có hiệu lực pháp luật; - Trường hợp hộ gia đình, cá nhân, cộng đồng dân cư không có giấy tờ về quyền sở hữu cây lâu năm nêu trên đây thì phải được Văn phòng đăng ký quyền sử dụng đất xác nhận có đủ điều kiện được công nhận quyền sử dụng đất theo quy định của pháp luật đất đai;</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(7) Chứng từ thực hiện nghĩa vụ tài chính; giấy tờ liên quan đến việc miễn, giảm nghĩa vụ tài chính về đất đai, tài sản gắn liền với đất - nếu có (bản sao đã có công chứng hoặc chứng thực hoặc bản sao và xuất trình bản chính để cán bộ tiếp nhận hồ sơ kiểm tra đối chiếu và xác nhận vào bản sao hoặc bản chính đối với trường hợp có 2 bản chính).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(8) Trường hợp có đăng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(1) Đơn đăng ký, cấp Giấy chứng nhận quyền sử dụng đất, quyền sở hữu nhà ở và tài sản khác gắn liền với đất theo Mẫu số 04/ĐK: Bản chính;</w:t>
            </w:r>
          </w:p>
        </w:tc>
        <w:tc>
          <w:p/>
          <w:p>
            <w:pPr>
              <w:spacing w:after="0" w:before="0" w:lineRule="auto" w:line="276"/>
              <w:jc w:val="left"/>
            </w:pPr>
            <w:r>
              <w:rPr>
                <w:rFonts w:ascii="Times New Roman" w:hAnsi="Times New Roman" w:cs="Times New Roman" w:eastAsia="Times New Roman"/>
                <w:b w:val="false"/>
                <w:sz w:val="26"/>
              </w:rPr>
              <w:t>Mẫu 4a,b,c,d.docx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3.2 Hồ sơ thực hiện nghĩa vụ tài chính:</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Tờ khai lệ phí trước bạ: Bản chính;</w:t>
            </w:r>
          </w:p>
        </w:tc>
        <w:tc>
          <w:p/>
          <w:p>
            <w:pPr>
              <w:spacing w:after="0" w:before="0" w:lineRule="auto" w:line="276"/>
              <w:jc w:val="left"/>
            </w:pPr>
            <w:r>
              <w:rPr>
                <w:rFonts w:ascii="Times New Roman" w:hAnsi="Times New Roman" w:cs="Times New Roman" w:eastAsia="Times New Roman"/>
                <w:b w:val="false"/>
                <w:sz w:val="26"/>
              </w:rPr>
              <w:t>Mẫu 01- Tờ khai lệ phí trước bạ.docx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Tờ khai thuế sử dụng đất phi nông nghiệp (nếu có);</w:t>
            </w:r>
          </w:p>
        </w:tc>
        <w:tc>
          <w:p/>
          <w:p>
            <w:pPr>
              <w:spacing w:after="0" w:before="0" w:lineRule="auto" w:line="276"/>
              <w:jc w:val="left"/>
            </w:pPr>
            <w:r>
              <w:rPr>
                <w:rFonts w:ascii="Times New Roman" w:hAnsi="Times New Roman" w:cs="Times New Roman" w:eastAsia="Times New Roman"/>
                <w:b w:val="false"/>
                <w:sz w:val="26"/>
              </w:rPr>
              <w:t>Tờ khai thuế sử dụng đất phí nông nghiệp.docx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Tờ khai thuế thu nhập từ chuyển nhượng bất động sản (trừ trường hợp bên chuyển nhượng là doanh nghiệp có chức năng kinh doanh bất động sản) theo quy định của pháp luật về thuế (nếu có): Bản chính.</w:t>
            </w:r>
          </w:p>
        </w:tc>
        <w:tc>
          <w:p/>
          <w:p>
            <w:pPr>
              <w:spacing w:after="0" w:before="0" w:lineRule="auto" w:line="276"/>
              <w:jc w:val="left"/>
            </w:pPr>
            <w:r>
              <w:rPr>
                <w:rFonts w:ascii="Times New Roman" w:hAnsi="Times New Roman" w:cs="Times New Roman" w:eastAsia="Times New Roman"/>
                <w:b w:val="false"/>
                <w:sz w:val="26"/>
              </w:rPr>
              <w:t>Mẫu 03 - Tờ khai thuế thu nhập cá nhân.docx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Văn bản của người sử dụng đất đề nghị được miễn, giảm các khoản nghĩa vụ tài chính về đất đai: Bản chính;</w:t>
            </w:r>
          </w:p>
        </w:tc>
        <w:tc>
          <w:p/>
          <w:p>
            <w:pPr>
              <w:spacing w:after="0" w:before="0" w:lineRule="auto" w:line="276"/>
              <w:jc w:val="left"/>
            </w:pPr>
            <w:r>
              <w:rPr>
                <w:rFonts w:ascii="Times New Roman" w:hAnsi="Times New Roman" w:cs="Times New Roman" w:eastAsia="Times New Roman"/>
                <w:b w:val="false"/>
                <w:sz w:val="26"/>
              </w:rPr>
              <w:t>Văn bản miễn giảm thuế.docx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các giấy tờ chứng minh thuộc đối tượng được miễn, giảm theo quy định của pháp luật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Bản sao Giấy tờ chứng minh thuộc đối tượng không phải nộp nghĩa vụ tài chính theo quy định của pháp luật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Hợp đồng chuyển nhượng bất động sản theo quy định của pháp luật (bản sao) hoặc Hợp đồng tặng cho tài sản là bất động sản theo quy định của pháp luật (bản sao) hoặc Hợp đồng (hoặc các giấy tờ) thừa kế bất động sản (bản sao);</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Văn phòng đăng ký quyền sử dụng đất cấp huyện, Phòng Tài nguyên Môi trường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 xml:space="preserve">Bộ phận tiếp nhận và trả kết quả thuộc Văn phòng HĐND và UBND cấp huyện. Hộ gia đình, cá nhân, cộng đồng dân cư nộp hồ sơ tại Ủy ban nhân dân cấp xã nếu có nhu cầu. </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Ủy ban nhân dân cấp xã, Cơ quan quản lý nhà nước về nhà ở, công trình xây dựng, nông nghiệp, cơ quan thuế</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 Ghi vào sổ địa chính và lập hồ sơ để Nhà nước quản lý. - Giấy chứng nhận.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92/2015/TT-BTC</w:t>
            </w:r>
          </w:p>
        </w:tc>
        <w:tc>
          <w:p/>
          <w:p>
            <w:pPr>
              <w:spacing w:after="0" w:before="0" w:lineRule="auto" w:line="276"/>
              <w:jc w:val="left"/>
            </w:pPr>
            <w:r>
              <w:rPr>
                <w:rFonts w:ascii="Times New Roman" w:hAnsi="Times New Roman" w:cs="Times New Roman" w:eastAsia="Times New Roman"/>
                <w:b w:val="false"/>
                <w:sz w:val="26"/>
              </w:rPr>
              <w:t>Thông tư 92/2015/TT-BTC</w:t>
            </w:r>
          </w:p>
        </w:tc>
        <w:tc>
          <w:p/>
          <w:p>
            <w:pPr>
              <w:spacing w:after="0" w:before="0" w:lineRule="auto" w:line="276"/>
              <w:jc w:val="left"/>
            </w:pPr>
            <w:r>
              <w:rPr>
                <w:rFonts w:ascii="Times New Roman" w:hAnsi="Times New Roman" w:cs="Times New Roman" w:eastAsia="Times New Roman"/>
                <w:b w:val="false"/>
                <w:sz w:val="26"/>
              </w:rPr>
              <w:t>15-06-2015</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45/2013/QH13</w:t>
            </w:r>
          </w:p>
        </w:tc>
        <w:tc>
          <w:p/>
          <w:p>
            <w:pPr>
              <w:spacing w:after="0" w:before="0" w:lineRule="auto" w:line="276"/>
              <w:jc w:val="left"/>
            </w:pPr>
            <w:r>
              <w:rPr>
                <w:rFonts w:ascii="Times New Roman" w:hAnsi="Times New Roman" w:cs="Times New Roman" w:eastAsia="Times New Roman"/>
                <w:b w:val="false"/>
                <w:sz w:val="26"/>
              </w:rPr>
              <w:t>Luật Đất đai</w:t>
            </w:r>
          </w:p>
        </w:tc>
        <w:tc>
          <w:p/>
          <w:p>
            <w:pPr>
              <w:spacing w:after="0" w:before="0" w:lineRule="auto" w:line="276"/>
              <w:jc w:val="left"/>
            </w:pPr>
            <w:r>
              <w:rPr>
                <w:rFonts w:ascii="Times New Roman" w:hAnsi="Times New Roman" w:cs="Times New Roman" w:eastAsia="Times New Roman"/>
                <w:b w:val="false"/>
                <w:sz w:val="26"/>
              </w:rPr>
              <w:t>29-11-2013</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01/2017/NĐ-CP</w:t>
            </w:r>
          </w:p>
        </w:tc>
        <w:tc>
          <w:p/>
          <w:p>
            <w:pPr>
              <w:spacing w:after="0" w:before="0" w:lineRule="auto" w:line="276"/>
              <w:jc w:val="left"/>
            </w:pPr>
            <w:r>
              <w:rPr>
                <w:rFonts w:ascii="Times New Roman" w:hAnsi="Times New Roman" w:cs="Times New Roman" w:eastAsia="Times New Roman"/>
                <w:b w:val="false"/>
                <w:sz w:val="26"/>
              </w:rPr>
              <w:t>Nghị định 01/2017/NĐ-CP ngày 06 tháng 01 năm 2014 của Chính phủ sửa đổi, bổ sung một số nghị định quy định chi tiết thi hành Luật Đất đai</w:t>
            </w:r>
          </w:p>
        </w:tc>
        <w:tc>
          <w:p/>
          <w:p>
            <w:pPr>
              <w:spacing w:after="0" w:before="0" w:lineRule="auto" w:line="276"/>
              <w:jc w:val="left"/>
            </w:pPr>
            <w:r>
              <w:rPr>
                <w:rFonts w:ascii="Times New Roman" w:hAnsi="Times New Roman" w:cs="Times New Roman" w:eastAsia="Times New Roman"/>
                <w:b w:val="false"/>
                <w:sz w:val="26"/>
              </w:rPr>
              <w:t>06-01-2017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43/2014/NĐ-CP</w:t>
            </w:r>
          </w:p>
        </w:tc>
        <w:tc>
          <w:p/>
          <w:p>
            <w:pPr>
              <w:spacing w:after="0" w:before="0" w:lineRule="auto" w:line="276"/>
              <w:jc w:val="left"/>
            </w:pPr>
            <w:r>
              <w:rPr>
                <w:rFonts w:ascii="Times New Roman" w:hAnsi="Times New Roman" w:cs="Times New Roman" w:eastAsia="Times New Roman"/>
                <w:b w:val="false"/>
                <w:sz w:val="26"/>
              </w:rPr>
              <w:t>Nghị định 43/2014/NĐ-CP ngày 15 tháng 5 năm 2014 của Chính phủ</w:t>
            </w:r>
          </w:p>
        </w:tc>
        <w:tc>
          <w:p/>
          <w:p>
            <w:pPr>
              <w:spacing w:after="0" w:before="0" w:lineRule="auto" w:line="276"/>
              <w:jc w:val="left"/>
            </w:pPr>
            <w:r>
              <w:rPr>
                <w:rFonts w:ascii="Times New Roman" w:hAnsi="Times New Roman" w:cs="Times New Roman" w:eastAsia="Times New Roman"/>
                <w:b w:val="false"/>
                <w:sz w:val="26"/>
              </w:rPr>
              <w:t>15-05-2014</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23/2014/TT-BTNMT</w:t>
            </w:r>
          </w:p>
        </w:tc>
        <w:tc>
          <w:p/>
          <w:p>
            <w:pPr>
              <w:spacing w:after="0" w:before="0" w:lineRule="auto" w:line="276"/>
              <w:jc w:val="left"/>
            </w:pPr>
            <w:r>
              <w:rPr>
                <w:rFonts w:ascii="Times New Roman" w:hAnsi="Times New Roman" w:cs="Times New Roman" w:eastAsia="Times New Roman"/>
                <w:b w:val="false"/>
                <w:sz w:val="26"/>
              </w:rPr>
              <w:t>Thông tư số 23/2014/TT-BTNMT ngày 19 tháng 5 năm 2014 của Bộ trưởng Bộ Tài nguyên và Môi trường quy định về giấy chứng nhận quyền sử dụng đất, quyền sở hữu nhà ở và tài sản khác gắn liền với đất</w:t>
            </w:r>
          </w:p>
        </w:tc>
        <w:tc>
          <w:p/>
          <w:p>
            <w:pPr>
              <w:spacing w:after="0" w:before="0" w:lineRule="auto" w:line="276"/>
              <w:jc w:val="left"/>
            </w:pPr>
            <w:r>
              <w:rPr>
                <w:rFonts w:ascii="Times New Roman" w:hAnsi="Times New Roman" w:cs="Times New Roman" w:eastAsia="Times New Roman"/>
                <w:b w:val="false"/>
                <w:sz w:val="26"/>
              </w:rPr>
              <w:t>19-05-2014</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24/2014/TT-BTNMT</w:t>
            </w:r>
          </w:p>
        </w:tc>
        <w:tc>
          <w:p/>
          <w:p>
            <w:pPr>
              <w:spacing w:after="0" w:before="0" w:lineRule="auto" w:line="276"/>
              <w:jc w:val="left"/>
            </w:pPr>
            <w:r>
              <w:rPr>
                <w:rFonts w:ascii="Times New Roman" w:hAnsi="Times New Roman" w:cs="Times New Roman" w:eastAsia="Times New Roman"/>
                <w:b w:val="false"/>
                <w:sz w:val="26"/>
              </w:rPr>
              <w:t>Thông tư số 24/2014/TT-BTNMT ngày 19 tháng 5 năm 2014 của Bộ trưởng Bộ Tài nguyên và Môi trường quy định về hồ sơ địa chính</w:t>
            </w:r>
          </w:p>
        </w:tc>
        <w:tc>
          <w:p/>
          <w:p>
            <w:pPr>
              <w:spacing w:after="0" w:before="0" w:lineRule="auto" w:line="276"/>
              <w:jc w:val="left"/>
            </w:pPr>
            <w:r>
              <w:rPr>
                <w:rFonts w:ascii="Times New Roman" w:hAnsi="Times New Roman" w:cs="Times New Roman" w:eastAsia="Times New Roman"/>
                <w:b w:val="false"/>
                <w:sz w:val="26"/>
              </w:rPr>
              <w:t>19-05-2014</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02/2015/TT-BTNMT	</w:t>
            </w:r>
          </w:p>
        </w:tc>
        <w:tc>
          <w:p/>
          <w:p>
            <w:pPr>
              <w:spacing w:after="0" w:before="0" w:lineRule="auto" w:line="276"/>
              <w:jc w:val="left"/>
            </w:pPr>
            <w:r>
              <w:rPr>
                <w:rFonts w:ascii="Times New Roman" w:hAnsi="Times New Roman" w:cs="Times New Roman" w:eastAsia="Times New Roman"/>
                <w:b w:val="false"/>
                <w:sz w:val="26"/>
              </w:rPr>
              <w:t>Thông tư 02/2015/TT-BTNMT</w:t>
            </w:r>
          </w:p>
        </w:tc>
        <w:tc>
          <w:p/>
          <w:p>
            <w:pPr>
              <w:spacing w:after="0" w:before="0" w:lineRule="auto" w:line="276"/>
              <w:jc w:val="left"/>
            </w:pPr>
            <w:r>
              <w:rPr>
                <w:rFonts w:ascii="Times New Roman" w:hAnsi="Times New Roman" w:cs="Times New Roman" w:eastAsia="Times New Roman"/>
                <w:b w:val="false"/>
                <w:sz w:val="26"/>
              </w:rPr>
              <w:t>27-01-2015</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33/2017/TT-BTNMT</w:t>
            </w:r>
          </w:p>
        </w:tc>
        <w:tc>
          <w:p/>
          <w:p>
            <w:pPr>
              <w:spacing w:after="0" w:before="0" w:lineRule="auto" w:line="276"/>
              <w:jc w:val="left"/>
            </w:pPr>
            <w:r>
              <w:rPr>
                <w:rFonts w:ascii="Times New Roman" w:hAnsi="Times New Roman" w:cs="Times New Roman" w:eastAsia="Times New Roman"/>
                <w:b w:val="false"/>
                <w:sz w:val="26"/>
              </w:rPr>
              <w:t>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tc>
        <w:tc>
          <w:p/>
          <w:p>
            <w:pPr>
              <w:spacing w:after="0" w:before="0" w:lineRule="auto" w:line="276"/>
              <w:jc w:val="left"/>
            </w:pPr>
            <w:r>
              <w:rPr>
                <w:rFonts w:ascii="Times New Roman" w:hAnsi="Times New Roman" w:cs="Times New Roman" w:eastAsia="Times New Roman"/>
                <w:b w:val="false"/>
                <w:sz w:val="26"/>
              </w:rPr>
              <w:t>29-09-2017</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156/2013/TT-BTC</w:t>
            </w:r>
          </w:p>
        </w:tc>
        <w:tc>
          <w:p/>
          <w:p>
            <w:pPr>
              <w:spacing w:after="0" w:before="0" w:lineRule="auto" w:line="276"/>
              <w:jc w:val="left"/>
            </w:pPr>
            <w:r>
              <w:rPr>
                <w:rFonts w:ascii="Times New Roman" w:hAnsi="Times New Roman" w:cs="Times New Roman" w:eastAsia="Times New Roman"/>
                <w:b w:val="false"/>
                <w:sz w:val="26"/>
              </w:rPr>
              <w:t>Thông tư 156/2013/TT-BTC - Hướng dẫn thi hành một số điều của Luật Quản lý thuế; Luật sửa đổi, bổ sung một số điều của Luật Quản lý thuế và Nghị định số 83/2013/NĐ-CP ngày 22/7/2013 của Chính phủ</w:t>
            </w:r>
          </w:p>
        </w:tc>
        <w:tc>
          <w:p/>
          <w:p>
            <w:pPr>
              <w:spacing w:after="0" w:before="0" w:lineRule="auto" w:line="276"/>
              <w:jc w:val="left"/>
            </w:pPr>
            <w:r>
              <w:rPr>
                <w:rFonts w:ascii="Times New Roman" w:hAnsi="Times New Roman" w:cs="Times New Roman" w:eastAsia="Times New Roman"/>
                <w:b w:val="false"/>
                <w:sz w:val="26"/>
              </w:rPr>
              <w:t>06-11-2013</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4764/2016/QĐ-UBND</w:t>
            </w:r>
          </w:p>
        </w:tc>
        <w:tc>
          <w:p/>
          <w:p>
            <w:pPr>
              <w:spacing w:after="0" w:before="0" w:lineRule="auto" w:line="276"/>
              <w:jc w:val="left"/>
            </w:pPr>
            <w:r>
              <w:rPr>
                <w:rFonts w:ascii="Times New Roman" w:hAnsi="Times New Roman" w:cs="Times New Roman" w:eastAsia="Times New Roman"/>
                <w:b w:val="false"/>
                <w:sz w:val="26"/>
              </w:rPr>
              <w:t>về việc ban hành mức thu, miễn, giảm, thu, nộp, quản lý và sử dụng các khoản phí, lệ phí thuộc thẩm quyền của Hội đồng nhân dân tỉnh, áp dụng trên địa bàn tỉnh Thanh Hóa</w:t>
            </w:r>
          </w:p>
        </w:tc>
        <w:tc>
          <w:p/>
          <w:p>
            <w:pPr>
              <w:spacing w:after="0" w:before="0" w:lineRule="auto" w:line="276"/>
              <w:jc w:val="left"/>
            </w:pPr>
            <w:r>
              <w:rPr>
                <w:rFonts w:ascii="Times New Roman" w:hAnsi="Times New Roman" w:cs="Times New Roman" w:eastAsia="Times New Roman"/>
                <w:b w:val="false"/>
                <w:sz w:val="26"/>
              </w:rPr>
              <w:t>09-12-2016</w:t>
            </w:r>
          </w:p>
        </w:tc>
        <w:tc>
          <w:p/>
          <w:p>
            <w:pPr>
              <w:spacing w:after="0" w:before="0" w:lineRule="auto" w:line="276"/>
              <w:jc w:val="left"/>
            </w:pPr>
            <w:r>
              <w:rPr>
                <w:rFonts w:ascii="Times New Roman" w:hAnsi="Times New Roman" w:cs="Times New Roman" w:eastAsia="Times New Roman"/>
                <w:b w:val="false"/>
                <w:sz w:val="26"/>
              </w:rPr>
              <w:t>UBND tỉnh Thanh Hóa</w:t>
            </w:r>
          </w:p>
        </w:tc>
      </w:tr>
      <w:tr>
        <w:tc>
          <w:p/>
          <w:p>
            <w:pPr>
              <w:spacing w:after="0" w:before="0" w:lineRule="auto" w:line="276"/>
              <w:jc w:val="left"/>
            </w:pPr>
            <w:r>
              <w:rPr>
                <w:rFonts w:ascii="Times New Roman" w:hAnsi="Times New Roman" w:cs="Times New Roman" w:eastAsia="Times New Roman"/>
                <w:b w:val="false"/>
                <w:sz w:val="26"/>
              </w:rPr>
              <w:t>88/2016/TTLT/BTC-BTNMT</w:t>
            </w:r>
          </w:p>
        </w:tc>
        <w:tc>
          <w:p/>
          <w:p>
            <w:pPr>
              <w:spacing w:after="0" w:before="0" w:lineRule="auto" w:line="276"/>
              <w:jc w:val="left"/>
            </w:pPr>
            <w:r>
              <w:rPr>
                <w:rFonts w:ascii="Times New Roman" w:hAnsi="Times New Roman" w:cs="Times New Roman" w:eastAsia="Times New Roman"/>
                <w:b w:val="false"/>
                <w:sz w:val="26"/>
              </w:rPr>
              <w:t>Thông tư liên tịch số 88/2016/TTLT/BTC-BTNMT ngày 22 tháng 6 năm 2016 của liên bộ: Bộ Tài chính và Bộ Tài nguyên và Môi trường quy định về hồ sơ và trình tự, thủ tục tiếp nhận, luân chuyển hồ sơ xác định nghĩa vụ tài chính về đất đai của người sử dụng đất</w:t>
            </w:r>
          </w:p>
        </w:tc>
        <w:tc>
          <w:p/>
          <w:p>
            <w:pPr>
              <w:spacing w:after="0" w:before="0" w:lineRule="auto" w:line="276"/>
              <w:jc w:val="left"/>
            </w:pPr>
            <w:r>
              <w:rPr>
                <w:rFonts w:ascii="Times New Roman" w:hAnsi="Times New Roman" w:cs="Times New Roman" w:eastAsia="Times New Roman"/>
                <w:b w:val="false"/>
                <w:sz w:val="26"/>
              </w:rPr>
              <w:t>22-06-2016</w:t>
            </w:r>
          </w:p>
        </w:tc>
        <w:tc>
          <w:p/>
        </w:tc>
      </w:tr>
      <w:tr>
        <w:tc>
          <w:p/>
          <w:p>
            <w:pPr>
              <w:spacing w:after="0" w:before="0" w:lineRule="auto" w:line="276"/>
              <w:jc w:val="left"/>
            </w:pPr>
            <w:r>
              <w:rPr>
                <w:rFonts w:ascii="Times New Roman" w:hAnsi="Times New Roman" w:cs="Times New Roman" w:eastAsia="Times New Roman"/>
                <w:b w:val="false"/>
                <w:sz w:val="26"/>
              </w:rPr>
              <w:t>21/2018/QĐ-UBND</w:t>
            </w:r>
          </w:p>
        </w:tc>
        <w:tc>
          <w:p/>
          <w:p>
            <w:pPr>
              <w:spacing w:after="0" w:before="0" w:lineRule="auto" w:line="276"/>
              <w:jc w:val="left"/>
            </w:pPr>
            <w:r>
              <w:rPr>
                <w:rFonts w:ascii="Times New Roman" w:hAnsi="Times New Roman" w:cs="Times New Roman" w:eastAsia="Times New Roman"/>
                <w:b w:val="false"/>
                <w:sz w:val="26"/>
              </w:rPr>
              <w:t>về việc Ban hành Bộ đơn giá sản phẩm đo đạc bản đồ địa chính, đăng ký đất đai, tài sản gắn liền với đất, lập hồ sơ địa chính, cấp giấy chứng nhận quyền sử dụng đất, quyền sở hữu nhà ở và tài sản gắn liền với đất trên địa bàn tỉnh Thanh Hóa</w:t>
            </w:r>
          </w:p>
        </w:tc>
        <w:tc>
          <w:p/>
          <w:p>
            <w:pPr>
              <w:spacing w:after="0" w:before="0" w:lineRule="auto" w:line="276"/>
              <w:jc w:val="left"/>
            </w:pPr>
            <w:r>
              <w:rPr>
                <w:rFonts w:ascii="Times New Roman" w:hAnsi="Times New Roman" w:cs="Times New Roman" w:eastAsia="Times New Roman"/>
                <w:b w:val="false"/>
                <w:sz w:val="26"/>
              </w:rPr>
              <w:t>10-07-2018</w:t>
            </w:r>
          </w:p>
        </w:tc>
        <w:tc>
          <w:p/>
          <w:p>
            <w:pPr>
              <w:spacing w:after="0" w:before="0" w:lineRule="auto" w:line="276"/>
              <w:jc w:val="left"/>
            </w:pPr>
            <w:r>
              <w:rPr>
                <w:rFonts w:ascii="Times New Roman" w:hAnsi="Times New Roman" w:cs="Times New Roman" w:eastAsia="Times New Roman"/>
                <w:b w:val="false"/>
                <w:sz w:val="26"/>
              </w:rPr>
              <w:t>UBND tỉnh Thanh Hóa</w:t>
            </w:r>
          </w:p>
        </w:tc>
      </w:tr>
      <w:tr>
        <w:tc>
          <w:p/>
          <w:p>
            <w:pPr>
              <w:spacing w:after="0" w:before="0" w:lineRule="auto" w:line="276"/>
              <w:jc w:val="left"/>
            </w:pPr>
            <w:r>
              <w:rPr>
                <w:rFonts w:ascii="Times New Roman" w:hAnsi="Times New Roman" w:cs="Times New Roman" w:eastAsia="Times New Roman"/>
                <w:b w:val="false"/>
                <w:sz w:val="26"/>
              </w:rPr>
              <w:t>140/2016/NĐ-CP</w:t>
            </w:r>
          </w:p>
        </w:tc>
        <w:tc>
          <w:p/>
          <w:p>
            <w:pPr>
              <w:spacing w:after="0" w:before="0" w:lineRule="auto" w:line="276"/>
              <w:jc w:val="left"/>
            </w:pPr>
            <w:r>
              <w:rPr>
                <w:rFonts w:ascii="Times New Roman" w:hAnsi="Times New Roman" w:cs="Times New Roman" w:eastAsia="Times New Roman"/>
                <w:b w:val="false"/>
                <w:sz w:val="26"/>
              </w:rPr>
              <w:t>Nghị định của Chính phủ quy định về phí, lệ phí trước bạ</w:t>
            </w:r>
          </w:p>
        </w:tc>
        <w:tc>
          <w:p/>
          <w:p>
            <w:pPr>
              <w:spacing w:after="0" w:before="0" w:lineRule="auto" w:line="276"/>
              <w:jc w:val="left"/>
            </w:pPr>
            <w:r>
              <w:rPr>
                <w:rFonts w:ascii="Times New Roman" w:hAnsi="Times New Roman" w:cs="Times New Roman" w:eastAsia="Times New Roman"/>
                <w:b w:val="false"/>
                <w:sz w:val="26"/>
              </w:rPr>
              <w:t>10-10-2016</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07/2019/QĐ-UBND</w:t>
            </w:r>
          </w:p>
        </w:tc>
        <w:tc>
          <w:p/>
          <w:p>
            <w:pPr>
              <w:spacing w:after="0" w:before="0" w:lineRule="auto" w:line="276"/>
              <w:jc w:val="left"/>
            </w:pPr>
            <w:r>
              <w:rPr>
                <w:rFonts w:ascii="Times New Roman" w:hAnsi="Times New Roman" w:cs="Times New Roman" w:eastAsia="Times New Roman"/>
                <w:b w:val="false"/>
                <w:sz w:val="26"/>
              </w:rPr>
              <w:t>Về việc ban hành Quy định cơ quan tiếp nhận, giải quyết thủ tục; thời gian các bước thực hiện thủ tục đăng ký đất đai, tài sản gắn liền với đất, cấp giấy chứng nhận quyền sử dụng đất, quyền sở hữu nhà ở và tài sản khác gắn liền với đất trên địa bàn tỉnh Thanh Hóa</w:t>
            </w:r>
          </w:p>
        </w:tc>
        <w:tc>
          <w:p/>
          <w:p>
            <w:pPr>
              <w:spacing w:after="0" w:before="0" w:lineRule="auto" w:line="276"/>
              <w:jc w:val="left"/>
            </w:pPr>
            <w:r>
              <w:rPr>
                <w:rFonts w:ascii="Times New Roman" w:hAnsi="Times New Roman" w:cs="Times New Roman" w:eastAsia="Times New Roman"/>
                <w:b w:val="false"/>
                <w:sz w:val="26"/>
              </w:rPr>
              <w:t>28-03-2019</w:t>
            </w:r>
          </w:p>
        </w:tc>
        <w:tc>
          <w:p/>
          <w:p>
            <w:pPr>
              <w:spacing w:after="0" w:before="0" w:lineRule="auto" w:line="276"/>
              <w:jc w:val="left"/>
            </w:pPr>
            <w:r>
              <w:rPr>
                <w:rFonts w:ascii="Times New Roman" w:hAnsi="Times New Roman" w:cs="Times New Roman" w:eastAsia="Times New Roman"/>
                <w:b w:val="false"/>
                <w:sz w:val="26"/>
              </w:rPr>
              <w:t>UBND tỉnh Thanh Hóa</w:t>
            </w:r>
          </w:p>
        </w:tc>
      </w:tr>
      <w:tr>
        <w:tc>
          <w:p/>
          <w:p>
            <w:pPr>
              <w:spacing w:after="0" w:before="0" w:lineRule="auto" w:line="276"/>
              <w:jc w:val="left"/>
            </w:pPr>
            <w:r>
              <w:rPr>
                <w:rFonts w:ascii="Times New Roman" w:hAnsi="Times New Roman" w:cs="Times New Roman" w:eastAsia="Times New Roman"/>
                <w:b w:val="false"/>
                <w:sz w:val="26"/>
              </w:rPr>
              <w:t xml:space="preserve">19/2019/QĐ-UBND </w:t>
            </w:r>
          </w:p>
        </w:tc>
        <w:tc>
          <w:p/>
          <w:p>
            <w:pPr>
              <w:spacing w:after="0" w:before="0" w:lineRule="auto" w:line="276"/>
              <w:jc w:val="left"/>
            </w:pPr>
            <w:r>
              <w:rPr>
                <w:rFonts w:ascii="Times New Roman" w:hAnsi="Times New Roman" w:cs="Times New Roman" w:eastAsia="Times New Roman"/>
                <w:b w:val="false"/>
                <w:sz w:val="26"/>
              </w:rPr>
              <w:t>Sửa đổi, bổ sung Quyết định số 21/2018/QĐ-UBND ngày 10/7/2018 của UBND tỉnh ban hành bộ đơn giá sản phẩm đo đạc bản đồ địa chính, đăng ký đất đai, tài sản gắn liền với đất, lập hồ sơ địa chính, cấp giấy chứng nhận quyền sử dụng đất, quyền sở hữu nhà ở và tài sản gắn liền với đất trên địa bàn tỉnh Thanh Hóa</w:t>
            </w:r>
          </w:p>
        </w:tc>
        <w:tc>
          <w:p/>
          <w:p>
            <w:pPr>
              <w:spacing w:after="0" w:before="0" w:lineRule="auto" w:line="276"/>
              <w:jc w:val="left"/>
            </w:pPr>
            <w:r>
              <w:rPr>
                <w:rFonts w:ascii="Times New Roman" w:hAnsi="Times New Roman" w:cs="Times New Roman" w:eastAsia="Times New Roman"/>
                <w:b w:val="false"/>
                <w:sz w:val="26"/>
              </w:rPr>
              <w:t>25-06-2019</w:t>
            </w:r>
          </w:p>
        </w:tc>
        <w:tc>
          <w:p/>
          <w:p>
            <w:pPr>
              <w:spacing w:after="0" w:before="0" w:lineRule="auto" w:line="276"/>
              <w:jc w:val="left"/>
            </w:pPr>
            <w:r>
              <w:rPr>
                <w:rFonts w:ascii="Times New Roman" w:hAnsi="Times New Roman" w:cs="Times New Roman" w:eastAsia="Times New Roman"/>
                <w:b w:val="false"/>
                <w:sz w:val="26"/>
              </w:rPr>
              <w:t>UBND tỉnh Thanh Hóa</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2024-03-28T19:30:32Z</dcterms:created>
  <dc:creator>Apache POI</dc:creator>
</cp:coreProperties>
</file>