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1.007254.000.00.00.H47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2891/QĐ-UBND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Điều 5, Điều 10 Nghị định 59/2015/NĐ-CP; Khoản 5 Điều 1 Nghị định số 42/2017/NĐ-CP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Hoạt động xây dựng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đề nghị thẩm định gửi 01 bộ hồ sơ đến Phòng có chức năng quản lý xây dựng thuộc Ủy ban nhân dân cấp huyện, các Ban quản lý khu công nghiệp, khu chế xuất, khu công nghệ cao, khu kinh tế.
-- Đối với các hồ sơ trình thẩm định không đảm bảo điều kiện thẩm định theo quy định, cơ quan chuyên môn về xây dựng có văn bản gửi người đề nghị thẩm định nêu rõ lý do và từ chối thực hiện thẩm định.
-- Trường hợp cơ quan chuyên môn về xây dựng không đủ điều kiện thực hiện công tác thẩm định, trong vòng 05 ngày kể từ ngày nhận đủ hồ sơ hợp lệ, cơ quan chuyên môn về xây dựng có văn bản yêu cầu chủ đầu tư lựa chọn trực tiếp tổ chức có năng lực phù hợp theo quy định để ký hợp đồng thẩm tra phục vụ công tác thẩm định. Thời gian thực hiện thẩm tra không vượt quá 10 (mười) ngày đối với dự án chỉ yêu cầu lập Báo cáo kinh tế - kỹ thuật. Chủ đầu tư có trách nhiệm gửi kết quả thẩm tra, hồ sơ thiết kế đã đóng dấu thẩm tra cho cơ quan chuyên môn về xây dựng để làm cơ sở thẩm định. Trường hợp cần gia hạn thời gian thực hiện thẩm tra thì chủ đầu tư phải có văn bản thông báo đến cơ quan thẩm định để giải trình lý do và đề xuất gia hạn thời gian thực hiện.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14 Ngày</w:t>
            </w:r>
          </w:p>
        </w:tc>
        <w:tc>
          <w:p/>
          <w:p>
            <w:pPr>
              <w:spacing w:after="0" w:before="0" w:lineRule="auto" w:line="276"/>
              <w:jc w:val="left"/>
            </w:pPr>
            <w:r>
              <w:rPr>
                <w:rFonts w:ascii="Times New Roman" w:hAnsi="Times New Roman" w:cs="Times New Roman" w:eastAsia="Times New Roman"/>
                <w:b w:val="false"/>
                <w:sz w:val="26"/>
              </w:rPr>
              <w:t xml:space="preserve">Phí :  </w:t>
              <w:t xml:space="preserve"> (theo quy định của Bộ tài chính)</w:t>
            </w:r>
          </w:p>
        </w:tc>
        <w:tc>
          <w:p/>
          <w:p>
            <w:pPr>
              <w:spacing w:after="0" w:before="0" w:lineRule="auto" w:line="276"/>
              <w:jc w:val="left"/>
            </w:pPr>
            <w:r>
              <w:rPr>
                <w:rFonts w:ascii="Times New Roman" w:hAnsi="Times New Roman" w:cs="Times New Roman" w:eastAsia="Times New Roman"/>
                <w:b w:val="false"/>
                <w:sz w:val="26"/>
              </w:rPr>
              <w:t>Tính từ ngày cơ quan thẩm định nhận đủ hồ sơ hợp lệ, như sau: Không quá 14 ngày.</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14 Ngày</w:t>
            </w:r>
          </w:p>
        </w:tc>
        <w:tc>
          <w:p/>
          <w:p>
            <w:pPr>
              <w:spacing w:after="0" w:before="0" w:lineRule="auto" w:line="276"/>
              <w:jc w:val="left"/>
            </w:pPr>
            <w:r>
              <w:rPr>
                <w:rFonts w:ascii="Times New Roman" w:hAnsi="Times New Roman" w:cs="Times New Roman" w:eastAsia="Times New Roman"/>
                <w:b w:val="false"/>
                <w:sz w:val="26"/>
              </w:rPr>
              <w:t xml:space="preserve">Phí :  </w:t>
              <w:t xml:space="preserve"> (theo quy định của Bộ tài chính)</w:t>
            </w:r>
          </w:p>
        </w:tc>
        <w:tc>
          <w:p/>
          <w:p>
            <w:pPr>
              <w:spacing w:after="0" w:before="0" w:lineRule="auto" w:line="276"/>
              <w:jc w:val="left"/>
            </w:pPr>
            <w:r>
              <w:rPr>
                <w:rFonts w:ascii="Times New Roman" w:hAnsi="Times New Roman" w:cs="Times New Roman" w:eastAsia="Times New Roman"/>
                <w:b w:val="false"/>
                <w:sz w:val="26"/>
              </w:rPr>
              <w:t>Tính từ ngày cơ quan thẩm định nhận đủ hồ sơ hợp lệ, như sau: Không quá 14 ngày.</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14 Ngày</w:t>
            </w:r>
          </w:p>
        </w:tc>
        <w:tc>
          <w:p/>
          <w:p>
            <w:pPr>
              <w:spacing w:after="0" w:before="0" w:lineRule="auto" w:line="276"/>
              <w:jc w:val="left"/>
            </w:pPr>
            <w:r>
              <w:rPr>
                <w:rFonts w:ascii="Times New Roman" w:hAnsi="Times New Roman" w:cs="Times New Roman" w:eastAsia="Times New Roman"/>
                <w:b w:val="false"/>
                <w:sz w:val="26"/>
              </w:rPr>
              <w:t xml:space="preserve">Phí :  </w:t>
              <w:t xml:space="preserve"> (theo quy định của Bộ tài chính)</w:t>
            </w:r>
          </w:p>
        </w:tc>
        <w:tc>
          <w:p/>
          <w:p>
            <w:pPr>
              <w:spacing w:after="0" w:before="0" w:lineRule="auto" w:line="276"/>
              <w:jc w:val="left"/>
            </w:pPr>
            <w:r>
              <w:rPr>
                <w:rFonts w:ascii="Times New Roman" w:hAnsi="Times New Roman" w:cs="Times New Roman" w:eastAsia="Times New Roman"/>
                <w:b w:val="false"/>
                <w:sz w:val="26"/>
              </w:rPr>
              <w:t>Tính từ ngày cơ quan thẩm định nhận đủ hồ sơ hợp lệ, như sau: Không quá 14 ngày.</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trình thẩm định theo quy định tại Mẫu số 04 Phụ lục II của Nghị định số 59/2015/NĐ-CP;</w:t>
            </w:r>
          </w:p>
        </w:tc>
        <w:tc>
          <w:p/>
          <w:p>
            <w:pPr>
              <w:spacing w:after="0" w:before="0" w:lineRule="auto" w:line="276"/>
              <w:jc w:val="left"/>
            </w:pPr>
            <w:r>
              <w:rPr>
                <w:rFonts w:ascii="Times New Roman" w:hAnsi="Times New Roman" w:cs="Times New Roman" w:eastAsia="Times New Roman"/>
                <w:b w:val="false"/>
                <w:sz w:val="26"/>
              </w:rPr>
              <w:t>To trinh tham dinh du an dau tu Xd hoac thiet ke co so .30.docx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Nhiệm vụ thiết kế đã được phê duyệt;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Thuyết minh Báo cáo kinh tế - kỹ thuật;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Hồ sơ trình thẩm định theo danh mục tại Mẫu số 04 Phụ lục II của Nghị định số 59/2015/NĐ-CP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kết quả thẩm tra (nếu có)</w:t>
            </w:r>
          </w:p>
        </w:tc>
        <w:tc>
          <w:p/>
          <w:p>
            <w:pPr>
              <w:spacing w:after="0" w:before="0" w:lineRule="auto" w:line="276"/>
              <w:jc w:val="left"/>
            </w:pPr>
            <w:r>
              <w:rPr>
                <w:rFonts w:ascii="Times New Roman" w:hAnsi="Times New Roman" w:cs="Times New Roman" w:eastAsia="Times New Roman"/>
                <w:b w:val="false"/>
                <w:sz w:val="26"/>
              </w:rPr>
              <w:t>Bao cao kq tham tra thiet ke va du toan cua BCKTKT.31.docx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Ban quản lý các khu công nghiệp và chế xuất, 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thông báo kết quả 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Mẫu số 05 Phụ lục II ban hành kèm theo Nghị định 59/2015/NĐ-CP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50/2014/QH13</w:t>
            </w:r>
          </w:p>
        </w:tc>
        <w:tc>
          <w:p/>
          <w:p>
            <w:pPr>
              <w:spacing w:after="0" w:before="0" w:lineRule="auto" w:line="276"/>
              <w:jc w:val="left"/>
            </w:pPr>
            <w:r>
              <w:rPr>
                <w:rFonts w:ascii="Times New Roman" w:hAnsi="Times New Roman" w:cs="Times New Roman" w:eastAsia="Times New Roman"/>
                <w:b w:val="false"/>
                <w:sz w:val="26"/>
              </w:rPr>
              <w:t>Xây dựng</w:t>
            </w:r>
          </w:p>
        </w:tc>
        <w:tc>
          <w:p/>
          <w:p>
            <w:pPr>
              <w:spacing w:after="0" w:before="0" w:lineRule="auto" w:line="276"/>
              <w:jc w:val="left"/>
            </w:pPr>
            <w:r>
              <w:rPr>
                <w:rFonts w:ascii="Times New Roman" w:hAnsi="Times New Roman" w:cs="Times New Roman" w:eastAsia="Times New Roman"/>
                <w:b w:val="false"/>
                <w:sz w:val="26"/>
              </w:rPr>
              <w:t>18-06-2014</w:t>
            </w:r>
          </w:p>
        </w:tc>
        <w:tc>
          <w:p/>
        </w:tc>
      </w:tr>
      <w:tr>
        <w:tc>
          <w:p/>
          <w:p>
            <w:pPr>
              <w:spacing w:after="0" w:before="0" w:lineRule="auto" w:line="276"/>
              <w:jc w:val="left"/>
            </w:pPr>
            <w:r>
              <w:rPr>
                <w:rFonts w:ascii="Times New Roman" w:hAnsi="Times New Roman" w:cs="Times New Roman" w:eastAsia="Times New Roman"/>
                <w:b w:val="false"/>
                <w:sz w:val="26"/>
              </w:rPr>
              <w:t>59/2015/NĐ-CP</w:t>
            </w:r>
          </w:p>
        </w:tc>
        <w:tc>
          <w:p/>
          <w:p>
            <w:pPr>
              <w:spacing w:after="0" w:before="0" w:lineRule="auto" w:line="276"/>
              <w:jc w:val="left"/>
            </w:pPr>
            <w:r>
              <w:rPr>
                <w:rFonts w:ascii="Times New Roman" w:hAnsi="Times New Roman" w:cs="Times New Roman" w:eastAsia="Times New Roman"/>
                <w:b w:val="false"/>
                <w:sz w:val="26"/>
              </w:rPr>
              <w:t>Về quản lý dự án đầu tư xây dựng</w:t>
            </w:r>
          </w:p>
        </w:tc>
        <w:tc>
          <w:p/>
          <w:p>
            <w:pPr>
              <w:spacing w:after="0" w:before="0" w:lineRule="auto" w:line="276"/>
              <w:jc w:val="left"/>
            </w:pPr>
            <w:r>
              <w:rPr>
                <w:rFonts w:ascii="Times New Roman" w:hAnsi="Times New Roman" w:cs="Times New Roman" w:eastAsia="Times New Roman"/>
                <w:b w:val="false"/>
                <w:sz w:val="26"/>
              </w:rPr>
              <w:t>18-06-2015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03/2016/TT-BXD	</w:t>
            </w:r>
          </w:p>
        </w:tc>
        <w:tc>
          <w:p/>
          <w:p>
            <w:pPr>
              <w:spacing w:after="0" w:before="0" w:lineRule="auto" w:line="276"/>
              <w:jc w:val="left"/>
            </w:pPr>
            <w:r>
              <w:rPr>
                <w:rFonts w:ascii="Times New Roman" w:hAnsi="Times New Roman" w:cs="Times New Roman" w:eastAsia="Times New Roman"/>
                <w:b w:val="false"/>
                <w:sz w:val="26"/>
              </w:rPr>
              <w:t>Quy định về phân cấp công trình xây dựng và hướng dẫn áp dụng trong quản lý hoạt động đầu tư xây dựng</w:t>
            </w:r>
          </w:p>
        </w:tc>
        <w:tc>
          <w:p/>
          <w:p>
            <w:pPr>
              <w:spacing w:after="0" w:before="0" w:lineRule="auto" w:line="276"/>
              <w:jc w:val="left"/>
            </w:pPr>
            <w:r>
              <w:rPr>
                <w:rFonts w:ascii="Times New Roman" w:hAnsi="Times New Roman" w:cs="Times New Roman" w:eastAsia="Times New Roman"/>
                <w:b w:val="false"/>
                <w:sz w:val="26"/>
              </w:rPr>
              <w:t>10-03-2016</w:t>
            </w:r>
          </w:p>
        </w:tc>
        <w:tc>
          <w:p/>
        </w:tc>
      </w:tr>
      <w:tr>
        <w:tc>
          <w:p/>
          <w:p>
            <w:pPr>
              <w:spacing w:after="0" w:before="0" w:lineRule="auto" w:line="276"/>
              <w:jc w:val="left"/>
            </w:pPr>
            <w:r>
              <w:rPr>
                <w:rFonts w:ascii="Times New Roman" w:hAnsi="Times New Roman" w:cs="Times New Roman" w:eastAsia="Times New Roman"/>
                <w:b w:val="false"/>
                <w:sz w:val="26"/>
              </w:rPr>
              <w:t>18/2016/TT-BXD</w:t>
            </w:r>
          </w:p>
        </w:tc>
        <w:tc>
          <w:p/>
          <w:p>
            <w:pPr>
              <w:spacing w:after="0" w:before="0" w:lineRule="auto" w:line="276"/>
              <w:jc w:val="left"/>
            </w:pPr>
            <w:r>
              <w:rPr>
                <w:rFonts w:ascii="Times New Roman" w:hAnsi="Times New Roman" w:cs="Times New Roman" w:eastAsia="Times New Roman"/>
                <w:b w:val="false"/>
                <w:sz w:val="26"/>
              </w:rPr>
              <w:t>Quy định chi tiết và hướng dẫn một số nội dung về thẩm định, phê duyệt dự án và thiết kế, dự toán xây dựng công trình</w:t>
            </w:r>
          </w:p>
        </w:tc>
        <w:tc>
          <w:p/>
          <w:p>
            <w:pPr>
              <w:spacing w:after="0" w:before="0" w:lineRule="auto" w:line="276"/>
              <w:jc w:val="left"/>
            </w:pPr>
            <w:r>
              <w:rPr>
                <w:rFonts w:ascii="Times New Roman" w:hAnsi="Times New Roman" w:cs="Times New Roman" w:eastAsia="Times New Roman"/>
                <w:b w:val="false"/>
                <w:sz w:val="26"/>
              </w:rPr>
              <w:t>30-06-2016</w:t>
            </w:r>
          </w:p>
        </w:tc>
        <w:tc>
          <w:p/>
        </w:tc>
      </w:tr>
      <w:tr>
        <w:tc>
          <w:p/>
          <w:p>
            <w:pPr>
              <w:spacing w:after="0" w:before="0" w:lineRule="auto" w:line="276"/>
              <w:jc w:val="left"/>
            </w:pPr>
            <w:r>
              <w:rPr>
                <w:rFonts w:ascii="Times New Roman" w:hAnsi="Times New Roman" w:cs="Times New Roman" w:eastAsia="Times New Roman"/>
                <w:b w:val="false"/>
                <w:sz w:val="26"/>
              </w:rPr>
              <w:t>42/2017/NĐ-CP</w:t>
            </w:r>
          </w:p>
        </w:tc>
        <w:tc>
          <w:p/>
          <w:p>
            <w:pPr>
              <w:spacing w:after="0" w:before="0" w:lineRule="auto" w:line="276"/>
              <w:jc w:val="left"/>
            </w:pPr>
            <w:r>
              <w:rPr>
                <w:rFonts w:ascii="Times New Roman" w:hAnsi="Times New Roman" w:cs="Times New Roman" w:eastAsia="Times New Roman"/>
                <w:b w:val="false"/>
                <w:sz w:val="26"/>
              </w:rPr>
              <w:t>Về sửa đổi, bổ sung một số điều Nghị định số 59/2015/NĐ-CP ngày 18 tháng 6 năm 2015 của Chính phủ về quản lý dự án đầu tư xây dựng.</w:t>
            </w:r>
          </w:p>
        </w:tc>
        <w:tc>
          <w:p/>
          <w:p>
            <w:pPr>
              <w:spacing w:after="0" w:before="0" w:lineRule="auto" w:line="276"/>
              <w:jc w:val="left"/>
            </w:pPr>
            <w:r>
              <w:rPr>
                <w:rFonts w:ascii="Times New Roman" w:hAnsi="Times New Roman" w:cs="Times New Roman" w:eastAsia="Times New Roman"/>
                <w:b w:val="false"/>
                <w:sz w:val="26"/>
              </w:rPr>
              <w:t>05-04-2017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2024-03-29T02:14:13Z</dcterms:created>
  <dc:creator>Apache POI</dc:creator>
</cp:coreProperties>
</file>