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1.007917.000.00.00.H56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670/QĐ-UBND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Phê duyệt Phương án trồng rừng thay thế đối với trường hợp chủ dự án tự trồng rừng thay thế</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Lâm nghiệp</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Bước 1: Nộp hồ sơ
Chủ dự án nộp trực tiếp hoặc gửi qua dịch vụ bưu chính hoặc qua môi trường điện tử 01 bộ hồ sơ đến Sở Nông nghiệp và Phát triển nông thôn nơi có diện tích rừng chuyển mục đích sử dụng rừng sang mục đích khác.
Trường hợp nộp hồ sơ qua môi trường điện tử thực hiện theo quy định tại Nghị định số 45/2020/NĐ-CP ngày 08/4/2020 của Chính phủ về thực hiện thủ tục hành chính trên môi trường điện tử.
b) Bước 2: Tiếp nhận hồ sơ 
- Trường hợp nộp hồ sơ trực tiếp: Sở Nông nghiệp và Phát triển nông thôn kiểm tra thành phần hồ sơ và trả lời ngay tính đầy đủ của thành phần hồ sơ cho chủ dự án và nêu rõ lý do; 
- Trường hợp nộp hồ sơ qua dịch vụ bưu chính hoặc qua môi trường điện tử: Trong thời hạn 01 ngày làm việc kể từ ngày nhận được hồ sơ, Sở Nông nghiệp và Phát triển nông thôn xem xét tính đầy đủ của thành phần hồ sơ; trường hợp hồ sơ chưa đầy đủ theo quy định, thông báo bằng văn bản cho chủ dự án và nêu rõ lý do.
c) Bước 3: Thành lập Hội đồng thẩm định và tổ chức thẩm định
Trong thời hạn 20 ngày kể từ ngày nhận được hồ sơ hợp lệ, Sở Nông nghiệp và Phát triển nông thôn thành lập Hội đồng thẩm định và tổ chức thẩm định hồ sơ Phương án trồng rừng thay thế. 
Trường hợp cần kiểm tra, đánh giá Phương án trồng rừng tại thực địa, Sở Nông nghiệp và Phát triển nông thôn thành lập Hội đồng thẩm định, tổ chức thẩm định và hoàn thành thẩm định trong thời hạn 35 ngày kể từ ngày nhận được hồ sơ hợp lệ. 
(i) Trường hợp hồ sơ đủ điều kiện, Sở Nông nghiệp và Phát triển nông thôn trình Ủy ban nhân dân cấp tỉnh xem xét, phê duyệt Phương án trồng rừng thay thế; kèm theo dự toán, thiết kế trồng rừng thay thế; 
(ii) Trường hợp hồ sơ không đủ điều kiện, Sở Nông nghiệp và Phát triển nông thôn thông báo bằng văn bản cho chủ dự án và nêu rõ lý do.
d) Bước 4: Phê duyệt phương án 
Trong thời hạn 10 ngày kể từ ngày nhận được hồ sơ trình phê duyệt Phương án trồng rừng thay thế; dự toán, thiết kế trồng rừng thay thế của Sở Nông nghiệp và Phát triển nông thôn, Ủy ban nhân dân cấp tỉnh phê duyệt Phương án trồng rừng thay thế kèm theo dự toán, thiết kế trồng rừng thay thế, gửi kết quả đến Sở Nông nghiệp và Phát triển nông thôn và chủ dự án. 
Trường hợp không phê duyệt, Ủy ban nhân dân cấp tỉnh thông báo bằng văn bản và nêu rõ lý do gửi Sở Nông nghiệp và Phát triển nông thôn và chủ dự án.
đ) Bước 5: Hoàn thành nghĩa vụ trồng rừng thay thế
 Trong thời hạn 10 ngày kể từ khi Phương án trồng rừng thay thế, dự toán, thiết kế trồng rừng thay thế được phê duyệt, chủ dự án nộp đủ số tiền vào Quỹ Bảo vệ và Phát triển rừng cấp tỉnh nơi chủ dự án nộp hồ sơ; Quỹ Bảo vệ và Phát triển rừng cấp tỉnh thông báo bằng văn bản về việc hoàn thành nghĩa vụ trồng rừng thay thế cho chủ dự án;
e) Bước 6: Thực hiện trồng rừng và nghiệm thu
Chủ dự án thực hiện trồng rừng theo Phương án trồng rừng thay thế, thiết kế, dự toán trồng rừng thay thế được phê duyệt; Sở Nông nghiệp và Phát triển nông thôn tổ chức nghiệm thu hoàn thành trồng rừng thay thế do chủ dự án thực hiện.
 Trường hợp chủ dự án không thực hiện trồng rừng thay thế, Ủy ban nhân dân cấp tỉnh quyết định tổ chức thực hiện trồng rừng thay thế tại địa điểm khác do Ủy ban nhân dân cấp tỉnh lựa chọn bằng nguồn tiền do chủ dự án đã nộp vào Quỹ Bảo vệ và phát triển rừng cấp tỉnh.
f) Bước 7: Thực hiện giải ngân 
- Quỹ Bảo vệ và Phát triển rừng và các tổ chức được giao nhiệm vụ trồng rừng thay thế mở tài khoản tại Kho bạc Nhà nước để tiếp nhận kinh phí trồng rừng thay thế;
- Đơn vị tiếp nhận kinh phí trồng rừng thay thế lập báo cáo, trình cơ quan tài chính cấp trên trực tiếp hoặc cơ quan được phân cấp hoặc cơ quan được giao theo quyết định của cơ quan có thẩm quyền để thẩm định, quyết toán kinh phí trồng rừng thay thế;
- Chủ tịch Ủy ban nhân dân cấp tỉnh quyết định sử dụng lãi tiền gửi từ kinh phí trồng rừng thay thế để thực hiện các hoạt động trồng rừng thay thế theo quy định của Thông tư số 25/2022/TT-BNNPTNT (đã được sửa đổi bổ sung tại Thông tư số 22/2023/TT-BNNPTNT).</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- 30 ngày kể từ ngày nhận được hồ sơ hợp lệ (đối với trường hợp không phải kiểm tra, đánh giá Phương án trồng rừng tại thực địa);  - 45 ngày kể từ ngày nhận được hồ sơ hợp lệ (đối với trường hợp phải kiểm tra, đánh giá Phương án trồng rừng tại thực địa). </w:t>
            </w:r>
          </w:p>
        </w:tc>
        <w:tc>
          <w:p/>
          <w:p>
            <w:pPr>
              <w:spacing w:after="0" w:before="0" w:lineRule="auto" w:line="276"/>
              <w:jc w:val="left"/>
            </w:pPr>
            <w:r>
              <w:rPr>
                <w:rFonts w:ascii="Times New Roman" w:hAnsi="Times New Roman" w:cs="Times New Roman" w:eastAsia="Times New Roman"/>
                <w:b w:val="false"/>
                <w:sz w:val="26"/>
              </w:rPr>
              <w:t>Phí : 0 Đồng</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- 30 ngày kể từ ngày nhận được hồ sơ hợp lệ (đối với trường hợp không phải kiểm tra, đánh giá Phương án trồng rừng tại thực địa);  - 45 ngày kể từ ngày nhận được hồ sơ hợp lệ (đối với trường hợp phải kiểm tra, đánh giá Phương án trồng rừng tại thực địa). </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- 30 ngày kể từ ngày nhận được hồ sơ hợp lệ (đối với trường hợp không phải kiểm tra, đánh giá Phương án trồng rừng tại thực địa);  - 45 ngày kể từ ngày nhận được hồ sơ hợp lệ (đối với trường hợp phải kiểm tra, đánh giá Phương án trồng rừng tại thực địa). </w:t>
            </w:r>
          </w:p>
        </w:tc>
        <w:tc>
          <w:p/>
          <w:p>
            <w:pPr>
              <w:spacing w:after="0" w:before="0" w:lineRule="auto" w:line="276"/>
              <w:jc w:val="left"/>
            </w:pPr>
            <w:r>
              <w:rPr>
                <w:rFonts w:ascii="Times New Roman" w:hAnsi="Times New Roman" w:cs="Times New Roman" w:eastAsia="Times New Roman"/>
                <w:b w:val="false"/>
                <w:sz w:val="26"/>
              </w:rPr>
              <w:t>Phí : 0 Đồng</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Bản chính văn bản đề nghị phê duyệt Phương án trồng rừng thay thế quy định tại Mẫu số 01 Phụ lục II ban hành kèm theo Thông tư số 25/2022/TT-BNNPTNT;.</w:t>
            </w:r>
          </w:p>
        </w:tc>
        <w:tc>
          <w:p/>
          <w:p>
            <w:pPr>
              <w:spacing w:after="0" w:before="0" w:lineRule="auto" w:line="276"/>
              <w:jc w:val="left"/>
            </w:pPr>
            <w:r>
              <w:rPr>
                <w:rFonts w:ascii="Times New Roman" w:hAnsi="Times New Roman" w:cs="Times New Roman" w:eastAsia="Times New Roman"/>
                <w:b w:val="false"/>
                <w:sz w:val="26"/>
              </w:rPr>
              <w:t>Mẫu số 01. Bảng kê lâm sản áp dụng với gỗ tròn, gỗ xẻ.doc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chính Phương án trồng rừng thay thế quy định tại Mẫu số 02 Phụ lục II ban hành kèm theo Thông tư số 25/2022/TT-BNNPTNT; .</w:t>
            </w:r>
          </w:p>
        </w:tc>
        <w:tc>
          <w:p/>
          <w:p>
            <w:pPr>
              <w:spacing w:after="0" w:before="0" w:lineRule="auto" w:line="276"/>
              <w:jc w:val="left"/>
            </w:pPr>
            <w:r>
              <w:rPr>
                <w:rFonts w:ascii="Times New Roman" w:hAnsi="Times New Roman" w:cs="Times New Roman" w:eastAsia="Times New Roman"/>
                <w:b w:val="false"/>
                <w:sz w:val="26"/>
              </w:rPr>
              <w:t>Mẫu số 02.PLII.doc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chính dự toán, thiết kế trồng rừng thay thế theo quy định sau: Thiết kế, dự toán trồng rừng thay thế được xác định trên cơ sở định mức kinh tế-kỹ thuật theo quy định của Bộ trưởng Bộ Nông nghiệp và Phát triển nông thôn; đơn giá xây dựng dự toán trồng rừng do Ủy ban nhân dân cấp tỉnh nơi tổ chức trồng rừng thay thế quy định. Việc lập, thẩm định, phê duyệt thiết kế, dự toán, nghiệm thu và xử lý rủi ro trong giai đoạn đầu tư trồng rừng thay thế được thực hiện theo quy định về quản lý đầu tư công trình lâm sinh;.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văn bản của cơ quan Nhà nước có thẩm quyền chấp thuận chủ trương chuyển mục đích sử dụng rừng sang mục đích khác; .</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Bản sao tài liệu khác có liên quan (nếu có). .</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 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Nông nghiệp và Phát triển nông thôn tỉnh Sơn La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Nông nghiệp và PTNT tại Trung tâm Phục vụ hành chính công tỉnh Thanh Hóa (Số 28 Đại lộ Lê Lợi, phường Điện Biên, thành phố Thanh Hóa, tỉnh Thanh Hóa);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Phê duyệt Phương án trồng rừng thay thế kèm theo dự toán, thiết kế trồng rừng thay thế. .</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Thông tư 13/2019/TT-NHNN</w:t>
            </w:r>
          </w:p>
        </w:tc>
        <w:tc>
          <w:p/>
          <w:p>
            <w:pPr>
              <w:spacing w:after="0" w:before="0" w:lineRule="auto" w:line="276"/>
              <w:jc w:val="left"/>
            </w:pPr>
            <w:r>
              <w:rPr>
                <w:rFonts w:ascii="Times New Roman" w:hAnsi="Times New Roman" w:cs="Times New Roman" w:eastAsia="Times New Roman"/>
                <w:b w:val="false"/>
                <w:sz w:val="26"/>
              </w:rPr>
              <w:t>Thông tư 13/2019/TT-NHNN</w:t>
            </w:r>
          </w:p>
        </w:tc>
        <w:tc>
          <w:p/>
          <w:p>
            <w:pPr>
              <w:spacing w:after="0" w:before="0" w:lineRule="auto" w:line="276"/>
              <w:jc w:val="left"/>
            </w:pPr>
            <w:r>
              <w:rPr>
                <w:rFonts w:ascii="Times New Roman" w:hAnsi="Times New Roman" w:cs="Times New Roman" w:eastAsia="Times New Roman"/>
                <w:b w:val="false"/>
                <w:sz w:val="26"/>
              </w:rPr>
              <w:t>21-08-2019</w:t>
            </w:r>
          </w:p>
        </w:tc>
        <w:tc>
          <w:p/>
          <w:p>
            <w:pPr>
              <w:spacing w:after="0" w:before="0" w:lineRule="auto" w:line="276"/>
              <w:jc w:val="left"/>
            </w:pPr>
            <w:r>
              <w:rPr>
                <w:rFonts w:ascii="Times New Roman" w:hAnsi="Times New Roman" w:cs="Times New Roman" w:eastAsia="Times New Roman"/>
                <w:b w:val="false"/>
                <w:sz w:val="26"/>
              </w:rPr>
              <w:t>Ngân hàng Nhà nước Việt Nam</w:t>
            </w:r>
          </w:p>
        </w:tc>
      </w:tr>
      <w:tr>
        <w:tc>
          <w:p/>
          <w:p>
            <w:pPr>
              <w:spacing w:after="0" w:before="0" w:lineRule="auto" w:line="276"/>
              <w:jc w:val="left"/>
            </w:pPr>
            <w:r>
              <w:rPr>
                <w:rFonts w:ascii="Times New Roman" w:hAnsi="Times New Roman" w:cs="Times New Roman" w:eastAsia="Times New Roman"/>
                <w:b w:val="false"/>
                <w:sz w:val="26"/>
              </w:rPr>
              <w:t>25/2022/TT-BNNPTNT</w:t>
            </w:r>
          </w:p>
        </w:tc>
        <w:tc>
          <w:p/>
          <w:p>
            <w:pPr>
              <w:spacing w:after="0" w:before="0" w:lineRule="auto" w:line="276"/>
              <w:jc w:val="left"/>
            </w:pPr>
            <w:r>
              <w:rPr>
                <w:rFonts w:ascii="Times New Roman" w:hAnsi="Times New Roman" w:cs="Times New Roman" w:eastAsia="Times New Roman"/>
                <w:b w:val="false"/>
                <w:sz w:val="26"/>
              </w:rPr>
              <w:t>Thông tư 25/2022/TT-BNNPTNT về trồng rừng thay thế khi chuyển mục đích sử dụng rừng</w:t>
            </w:r>
          </w:p>
        </w:tc>
        <w:tc>
          <w:p/>
          <w:p>
            <w:pPr>
              <w:spacing w:after="0" w:before="0" w:lineRule="auto" w:line="276"/>
              <w:jc w:val="left"/>
            </w:pPr>
            <w:r>
              <w:rPr>
                <w:rFonts w:ascii="Times New Roman" w:hAnsi="Times New Roman" w:cs="Times New Roman" w:eastAsia="Times New Roman"/>
                <w:b w:val="false"/>
                <w:sz w:val="26"/>
              </w:rPr>
              <w:t>30-12-2022</w:t>
            </w:r>
          </w:p>
        </w:tc>
        <w:tc>
          <w:p/>
          <w:p>
            <w:pPr>
              <w:spacing w:after="0" w:before="0" w:lineRule="auto" w:line="276"/>
              <w:jc w:val="left"/>
            </w:pPr>
            <w:r>
              <w:rPr>
                <w:rFonts w:ascii="Times New Roman" w:hAnsi="Times New Roman" w:cs="Times New Roman" w:eastAsia="Times New Roman"/>
                <w:b w:val="false"/>
                <w:sz w:val="26"/>
              </w:rPr>
              <w:t>Bộ Nông nghiệp và Phát triển nông thôn</w:t>
            </w:r>
          </w:p>
        </w:tc>
      </w:tr>
      <w:tr>
        <w:tc>
          <w:p/>
          <w:p>
            <w:pPr>
              <w:spacing w:after="0" w:before="0" w:lineRule="auto" w:line="276"/>
              <w:jc w:val="left"/>
            </w:pPr>
            <w:r>
              <w:rPr>
                <w:rFonts w:ascii="Times New Roman" w:hAnsi="Times New Roman" w:cs="Times New Roman" w:eastAsia="Times New Roman"/>
                <w:b w:val="false"/>
                <w:sz w:val="26"/>
              </w:rPr>
              <w:t>22/2023/TT-BNNPTNT</w:t>
            </w:r>
          </w:p>
        </w:tc>
        <w:tc>
          <w:p/>
          <w:p>
            <w:pPr>
              <w:spacing w:after="0" w:before="0" w:lineRule="auto" w:line="276"/>
              <w:jc w:val="left"/>
            </w:pPr>
            <w:r>
              <w:rPr>
                <w:rFonts w:ascii="Times New Roman" w:hAnsi="Times New Roman" w:cs="Times New Roman" w:eastAsia="Times New Roman"/>
                <w:b w:val="false"/>
                <w:sz w:val="26"/>
              </w:rPr>
              <w:t>Thông tư số 22/2023/TT-BNNPTNT ngày 15/11/2023 của Bộ trưởng Bộ Nông nghiệp và Phát triển nông thôn sửa đổi, bổ sung một số điều của các Thông tư trong lĩnh vực lâm nghiệp</w:t>
            </w:r>
          </w:p>
        </w:tc>
        <w:tc>
          <w:p/>
          <w:p>
            <w:pPr>
              <w:spacing w:after="0" w:before="0" w:lineRule="auto" w:line="276"/>
              <w:jc w:val="left"/>
            </w:pPr>
            <w:r>
              <w:rPr>
                <w:rFonts w:ascii="Times New Roman" w:hAnsi="Times New Roman" w:cs="Times New Roman" w:eastAsia="Times New Roman"/>
                <w:b w:val="false"/>
                <w:sz w:val="26"/>
              </w:rPr>
              <w:t>15-11-2023</w:t>
            </w:r>
          </w:p>
        </w:tc>
        <w:tc>
          <w:p/>
          <w:p>
            <w:pPr>
              <w:spacing w:after="0" w:before="0" w:lineRule="auto" w:line="276"/>
              <w:jc w:val="left"/>
            </w:pPr>
            <w:r>
              <w:rPr>
                <w:rFonts w:ascii="Times New Roman" w:hAnsi="Times New Roman" w:cs="Times New Roman" w:eastAsia="Times New Roman"/>
                <w:b w:val="false"/>
                <w:sz w:val="26"/>
              </w:rPr>
              <w:t>Bộ Nông nghiệp và Phát triển nông thôn</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2024-03-29T06:48:27Z</dcterms:created>
  <dc:creator>Apache POI</dc:creator>
</cp:coreProperties>
</file>