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1.007919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4751/QĐ-BNN-TCLN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điều chỉnh thiết kế, dự toán công trình lâm sinh (đối với công trình lâm sinh thuộc dự án do Chủ tịch UBND cấp huyện quyết định đầu tư)</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-Chủ đầu tư nộp hồ sơ đến UBND cấp huyện (các phòng chức năng cấp huyện hoặc cơ quan kiểm lâm sở tại).
- Cơ quan tiếp nhận kiểm tra tính hợp lệ của hồ sơ; trả giấy tiếp nhận hoặc không tiếp nhận ngay cho chủ đầu tư đối với trường hợp nộp trực tiếp; sau 02 ngày làm việc đối với các trường hợp nộp qua dịch vụ bưu chính hoặc qua môi trường mạng.
 Bước 2:
Trong thời hạn 12 ngày làm việc kể từ ngày nhận được hồ sơ hợp lệ, phòng chức năng của huyện phải tổ chức thẩm định thiết kế, dự toán công trình lâm sinh và có báo cáo thẩm định, dự thảo quyết định phê duyệt và trình Chủ tịch UBND huyện phê duyệt; 
Bước 3:
Trong thời hạn 05 ngày làm việc kể từ ngày nhận được báo cáo kết quả thẩm định, cấp có thẩm quyền quyết định phê duyệt thiết kế, dự toán công trình lâm sinh và chuyển trả kết quả cho chủ đầu tư trong thời hạn 03 ngày làm việc kể từ ngày ký quyết định. Trường hợp không phê duyệt, cơ quan có thẩm quyền quyết định thông báo bằng văn bản cho cơ thẩm định và chủ đầu tư trong thời hạn 03 ngày làm việc.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19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19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19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phê duyệt thiết kế, dự toán theo mẫu số 01 Phụ lục III ban hành kèm theo Thông tư số 15/2019/TT-BNNPTNT ngày 30/10/2019</w:t>
            </w:r>
          </w:p>
        </w:tc>
        <w:tc>
          <w:p/>
          <w:p>
            <w:pPr>
              <w:spacing w:after="0" w:before="0" w:lineRule="auto" w:line="276"/>
              <w:jc w:val="left"/>
            </w:pPr>
            <w:r>
              <w:rPr>
                <w:rFonts w:ascii="Times New Roman" w:hAnsi="Times New Roman" w:cs="Times New Roman" w:eastAsia="Times New Roman"/>
                <w:b w:val="false"/>
                <w:sz w:val="26"/>
              </w:rPr>
              <w:t>Phụ lục III.TT 15.2019.TT-BNNPTNT.docx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Thuyết minh thiết kế được lập theo mẫu tại Phụ lục I ban hành kèm theo Thông tư số 15/2019/TT-BNNPTNT ngày 30/10/2019</w:t>
            </w:r>
          </w:p>
        </w:tc>
        <w:tc>
          <w:p/>
          <w:p>
            <w:pPr>
              <w:spacing w:after="0" w:before="0" w:lineRule="auto" w:line="276"/>
              <w:jc w:val="left"/>
            </w:pPr>
            <w:r>
              <w:rPr>
                <w:rFonts w:ascii="Times New Roman" w:hAnsi="Times New Roman" w:cs="Times New Roman" w:eastAsia="Times New Roman"/>
                <w:b w:val="false"/>
                <w:sz w:val="26"/>
              </w:rPr>
              <w:t>Phụ lục I.TT 15.2019.TT-BNNPTNT.docx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đồ thiết kế: xây dựng trên nền bản đồ địa hình theo hệ quy chiếu VN 2.000 với tỷ lệ 1/5.000 hoặc 1/10.000. Trình bày và thể hiện nội dung bản đồ áp dụng TCVN 11566:2016 về bản đồ quy hoạch lâm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quyết định phê duyệt dự án đầu tư hoặc kế hoạch vốn được giao đối với hoạt động sử dụng kinh phí ngân sách nhà nước và các tài liệu khác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Các phòng chuyên môn trực thuộc UBND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hồ sơ thiết kế, dự toán công trình lâm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15/2019/TT-BNNPTNT </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30-10-2019</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2024-03-28T19:31:40Z</dcterms:created>
  <dc:creator>Apache POI</dc:creator>
</cp:coreProperties>
</file>