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1.007987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3127/QĐ-UBND.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phép di dời công trình đối với công trình, nhà ở riêng lẻ xây dựng trong đô thị, trung tâm cụm xã, trong khu bảo tồn, khu di tích lịch sử- văn hóa thuộc địa bàn quản lý, trừ các công trình thuộc thẩm quyền cấp giấy phép xây dựng của cấp trung ương,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Hoạt động xây dựng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1.1. Trình tự thực hiện
- Trong thời hạn 07 ngày làm việc kể từ ngày nhận được hồ sơ, đơn vị được giao thẩm định hồ sơ có trách nhiệm xem xét hồ sơ, kiểm tra thực địa. Khi thẩm định hồ sơ, UBND cấp huyện phải xác định tài liệu còn thiếu, tài liệu không đúng theo quy định hoặc không đúng với thực tế để thông báo một lần bằng văn bản cho chủ đầu tư bổ sung, hoàn chỉnh hồ sơ. Trường hợp hồ sơ bổ sung chưa đáp ứng được yêu cầu theo văn bản thông báo thì trong thời hạn 05 ngày làm việc, UBND cấp huyện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UBND cấp huyện có trách nhiệm thông báo đến chủ đầu tư về lý do không cấp giấy phép;
- Căn cứ quy mô, tính chất, loại công trình và địa điểm xây dựng công trình có trong hồ sơ đề nghị cấp giấy phép xây dựng, UBND cấp huyện có trách nhiệm đối chiếu các điều kiện theo quy định để gửi văn bản lấy ý kiến của các cơ quan quản lý nhà nước về những lĩnh vực liên quan đến công trình xây dựng theo quy định của pháp luật;
- Trong thời gian 12 ngày đối với công trình và nhà ở riêng lẻ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UBND cấp huyện căn cứ các quy định hiện hành để quyết định việc cấp giấy phép di dời.
- Kể từ ngày nhận đủ hồ sơ hợp lệ, UBND cấp huyện phải xem xét hồ sơ để cấp giấy phép trong thời gian 15 ngày đối với nhà ở riêng lẻ và trong thời gian 30 ngày đối với công trình khác. Trường hợp đến thời hạn cấp giấy phép nhưng cần phải xem xét thêm thì cơ quan cấp giấy phép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
</w:t>
      </w:r>
    </w:p>
    <w:p>
      <w:pPr>
        <w:spacing w:after="0" w:before="0" w:lineRule="auto" w:line="276"/>
        <w:jc w:val="both"/>
      </w:pPr>
      <w:r>
        <w:rPr>
          <w:rFonts w:ascii="Times New Roman" w:hAnsi="Times New Roman" w:cs="Times New Roman" w:eastAsia="Times New Roman"/>
          <w:b w:val="false"/>
          <w:sz w:val="26"/>
        </w:rPr>
        <w:t xml:space="preserve">1.2. Địa điểm thực hiện: Bộ phận tiếp nhận và trả kết quả thuộc Văn phòng HĐND - UBND cấp huyện, tỉnh Thanh Hóa. </w:t>
      </w:r>
    </w:p>
    <w:p>
      <w:pPr>
        <w:spacing w:after="0" w:before="0" w:lineRule="auto" w:line="276"/>
        <w:jc w:val="both"/>
      </w:pPr>
      <w:r>
        <w:rPr>
          <w:rFonts w:ascii="Times New Roman" w:hAnsi="Times New Roman" w:cs="Times New Roman" w:eastAsia="Times New Roman"/>
          <w:b w:val="false"/>
          <w:sz w:val="26"/>
        </w:rPr>
        <w:t>1.3. Thời gian thực hiện: Trong giờ hành chính các ngày từ thứ 2 đến thứ 6 hàng tuần (trừ ngày nghỉ Lễ, Tết theo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Đối với nhà ở riêng lẻ: Không quá 15 ngày kể từ ngày nhận đủ hồ sơ hợp lệ; - Đối với công trình khác: Không quá 30 ngày kể từ ngày nhận đủ hồ sơ hợp lệ.  Trường hợp đến thời hạn cấp giấy phép nhưng cần phải xem xét thêm thì UBND cấp huyện có trách nhiệm thông báo bằng văn bản cho chủ đầu tư biết lý do, đồng thời báo cáo cấp có thẩm quyền quản lý trực tiếp xem xét và chỉ đạo thực hiện, nhưng không được quá 10 ngày kể từ ngày hết hạn theo quy định. </w:t>
            </w:r>
          </w:p>
        </w:tc>
        <w:tc>
          <w:p/>
          <w:p>
            <w:pPr>
              <w:spacing w:after="0" w:before="0" w:lineRule="auto" w:line="276"/>
              <w:jc w:val="left"/>
            </w:pPr>
            <w:r>
              <w:rPr>
                <w:rFonts w:ascii="Times New Roman" w:hAnsi="Times New Roman" w:cs="Times New Roman" w:eastAsia="Times New Roman"/>
                <w:b w:val="false"/>
                <w:sz w:val="26"/>
              </w:rPr>
              <w:t>Lệ phí : 100.000 Đồng</w:t>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Đối với nhà ở riêng lẻ: Không quá 15 ngày kể từ ngày nhận đủ hồ sơ hợp lệ; - Đối với công trình khác: Không quá 30 ngày kể từ ngày nhận đủ hồ sơ hợp lệ.  Trường hợp đến thời hạn cấp giấy phép nhưng cần phải xem xét thêm thì UBND cấp huyện có trách nhiệm thông báo bằng văn bản cho chủ đầu tư biết lý do, đồng thời báo cáo cấp có thẩm quyền quản lý trực tiếp xem xét và chỉ đạo thực hiện, nhưng không được quá 10 ngày kể từ ngày hết hạn theo quy định. </w:t>
            </w:r>
          </w:p>
        </w:tc>
        <w:tc>
          <w:p/>
          <w:p>
            <w:pPr>
              <w:spacing w:after="0" w:before="0" w:lineRule="auto" w:line="276"/>
              <w:jc w:val="left"/>
            </w:pPr>
            <w:r>
              <w:rPr>
                <w:rFonts w:ascii="Times New Roman" w:hAnsi="Times New Roman" w:cs="Times New Roman" w:eastAsia="Times New Roman"/>
                <w:b w:val="false"/>
                <w:sz w:val="26"/>
              </w:rPr>
              <w:t>Lệ phí : 100.000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cấp giấy phép di dời công trình theo mẫu tại Phụ lục số 1 Thông tư số 15/2016/TT-BXD.</w:t>
            </w:r>
          </w:p>
        </w:tc>
        <w:tc>
          <w:p/>
          <w:p>
            <w:pPr>
              <w:spacing w:after="0" w:before="0" w:lineRule="auto" w:line="276"/>
              <w:jc w:val="left"/>
            </w:pPr>
            <w:r>
              <w:rPr>
                <w:rFonts w:ascii="Times New Roman" w:hAnsi="Times New Roman" w:cs="Times New Roman" w:eastAsia="Times New Roman"/>
                <w:b w:val="false"/>
                <w:sz w:val="26"/>
              </w:rPr>
              <w:t>PHỤ LỤC SỐ 1.docx</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hoặc tệp tin chứa bản chụp chính một trong những giấy tờ chứng minh quyền sử dụng đất theo quy định của pháp luật về đất đai nơi công trình sẽ di dời đến và giấy tờ hợp pháp về quyền sở hữu công trình theo quy định tại Điều 3 Nghị định số 53/2017/NĐ-CP ngày 08/5/2017 của Chính phủ quy định các giấy tờ hợp pháp về đất đai để cấp giấy phép xây dựng, bao gồm: + Giấy chứng nhận quyền sử dụng đất được cấp theo quy định của Luật đất đai năm 1987, Luật đất đai năm 1993, Luật sửa đổi, bổ sung một số điều của Luật đất đai năm 2001, Luật đất đai năm 2003. + Giấy chứng nhận quyền sử dụng đất, quyền sở hữu nhà ở và tài sản khác gắn liền với đất được cấp theo quy định của Luật đất đai năm 2013, Luật sửa đổi, bổ sung một số điều của các luật liên quan đến đầu tư xây dựng cơ bản số 38/2009/QH12. + Giấy chứng nhận quyền sở hữu nhà ở và quyền sử dụng đất ở được cấp theo quy định tại Nghị định số 60/CP ngày 05 tháng 7 năm 1994 của Chính phủ về quyền sở hữu nhà ở và quyền sử dụng đất ở tại đô thị, Nghị định số 61/CP ngày 05 tháng 7 năm 1994 của Chính phủ về mua bán và kinh doanh nhà ở. + Giấy chứng nhận quyền sở hữu nhà ở; giấy chứng nhận quyền sở hữu công trình xây dựng đã được cấp theo quy định tại Pháp lệnh nhà ở năm 1991; Luật nhà ở năm 2005; Nghị định số 81/2001/NĐ-CP ngày 05 tháng 11 năm 2001 của Chính phủ về việc người Việt Nam định cư ở nước ngoài mua nhà ở tại Việt Nam; Nghị định số 95/2005/NĐ-CP ngày 15 tháng 7 năm 2005 của Chính phủ về việc cấp giấy chứng nhận quyền sở hữu nhà ở, quyền sở hữu công trình xây dựng; Nghị định số 90/2006/NĐ-CP ngày 06 tháng 9 năm 2006 của Chính phủ quy định chi tiết và hướng dẫn thi hành Luật nhà ở; Nghị định số 51/2009/NĐ-CP ngày 03 tháng 6 năm 2009 hướng dẫn thi hành một số điều của Nghị quyết số 19/2008/QH12 ngày 03 tháng 6 năm 2008 của Quốc hội về việc thí điểm cho tổ chức, cá nhân nước ngoài mua và sở hữu nhà ở tại Việt Nam; Điều 31, Điều 32 Nghị định số 43/2014/NĐ-CP ngày 15 tháng 5 năm 2014 của Chính phủ quy định chi tiết thi hành một số điều của Luật đất đai; các giấy chứng nhận khác về quyền sở hữu nhà ở, quyền sở hữu công trình xây dựng đã được cấp theo quy định của pháp luật về đất đai, pháp luật về nhà ở, pháp luật về xây dựng qua các thời kỳ. + Các loại giấy tờ đủ điều kiện để cấp giấy chứng nhận quyền sử dụng đất, quyền sở hữu nhà ở và tài sản khác gắn liền với đất nhưng chưa được cấp giấy chứng nhận gồm: Các loại giấy tờ quy định tại Điều 100 Luật đất đai năm 2013; Điều 18 Nghị định số 43/2014/NĐ-CP ngày 15 tháng 5 năm 2014 của Chính phủ quy định chi tiết thi hành một số điều của Luật đất đai năm 2013 và quy định tại Khoản 16 Điều 2 Nghị định số 01/2017/NĐ-CP ngày 06 tháng 01 năm 2017 sửa đổi, bổ sung một số Nghị định quy định chi tiết thi hành Luật đất đai hoặc giấy xác nhận của Ủy ban nhân dân cấp xã và được cơ quan đăng ký đất đai xác nhận đủ điều kiện để cấp giấy chứng nhận quyền sử dụng đất, quyền sở hữu nhà ở và tài sản khác gắn liền với đất. + Giấy tờ về đất đai đối với trường hợp được Nhà nước giao đất, cho thuê đất, chuyển mục đích sử dụng đất từ sau ngày 01 tháng 7 năm 2004 nhưng không có giấy chứng nhận quyền sử dụng đất, quyền sở hữu nhà ở và tài sản khác gắn liền với đất theo quy định của pháp luật về đất đai, gồm: Quyết định giao đất của cơ quan nhà nước có thẩm quyền hoặc Quyết định cho thuê đất của cơ quan nhà nước có thẩm quyền và hợp đồng thuê đất kèm theo (nếu có) hoặc giấy tờ về trúng đấu giá quyền sử dụng đất, đấu thầu dự án có sử dụng đất hoặc Quyết định cho phép chuyển mục đích sử dụng đất của cơ quan nhà nước có thẩm quyền. +Báo cáo rà soát, kê khai hiện trạng sử dụng đất đối với trường hợp tổ chức, cơ sở tôn giáo đang sử dụng mà chưa được cấp giấy chứng nhận quyền sử dụng đất, quyền sở hữu nhà ở và tài sản khác gắn liền với đất được Ủy ban nhân dân cấp tỉnh nơi có đất kiểm tra và quyết định xử lý theo quy định tại Điều 28 Nghị định số 43/2014/NĐ-CP ngày 15 tháng 5 năm 2014 của Chính phủ quy định chi tiết thi hành một số điều của Luật đất đai. + Giấy tờ về việc xếp hạng di tích lịch sử - văn hóa, danh lam thắng cảnh đối với trường hợp cấp giấy phép xây dựng để thực hiện xây dựng mới, sửa chữa, cải tạo hoặc di dời các công trình di tích lịch sử - văn hóa, danh lam thắng cảnh nhưng chưa được cấp giấy chứng nhận quyền sử dụng đất, quyền sở hữu nhà ở và tài sản khác gắn liền với đất theo quy định tại Điều 27 Nghị định số 43/2014/NĐ-CP ngày 15 tháng 5 năm 2014 của Chính phủ quy định chi tiết thi hành một số điều của Luật đất đai năm 2013. + Giấy chứng nhận quyền sử dụng đất hoặc văn bản chấp thuận về địa điểm xây dựng của Ủy ban nhân dân cấp huyện đối với công trình xây dựng biển quảng cáo, trạm viễn thông, cột ăng-ten tại khu vực không thuộc nhóm đất có mục đích sử dụng để xây dựng và không được chuyển đổi mục đích sử dụng đất. + Hợp đồng thuê đất được giao kết giữa chủ đầu tư xây dựng công trình và người quản lý, sử dụng công trình giao thông hoặc văn bản chấp thuận của cơ quan quản lý nhà nước có thẩm quyền về giao thông đối với công trình được phép xây dựng trong phạm vi đất dành cho giao thông theo quy định của pháp luật. + Văn bản của cơ quan nhà nước có thẩm quyền cho phép chuyển mục đích sử dụng đất đối với trường hợp người sử dụng đất đã có giấy tờ hợp pháp về đất đai theo quy định tại các Khoản 1, 2, 3, 4 và 5 Điều này nhưng đề nghị được cấp giấy phép xây dựng sử dụng vào mục đích khác với mục đích sử dụng đất đã được ghi trên giấy tờ đó. + Văn bản của cơ quan nhà nước có thẩm quyền đã cấp giấy chứng nhận quyền sử dụng đất, theo đề nghị của cơ quan cấp giấy phép xây dựng để xác định diện tích các loại đất đối với trường hợp người sử dụng đất có một trong các loại giấy tờ hợp pháp về đất đai theo quy định tại các Khoản 1, 2, 3, 4 và 5 Điều này nhưng trên các giấy tờ đó không ghi rõ diện tích các loại đất để làm cơ sở cấp giấy phép xây dựng.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 Bản sao hoặc tệp tin chứa bản chụp chính bản vẽ tổng mặt bằng, nơi công trình sẽ được di dời tới tỷ lệ 1/50 - 1/500.</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 Bản sao hoặc tệp tin chứa bản chụp chính bản vẽ mặt bằng móng tỷ lệ 1/100 - 1/200, mặt cắt móng tỷ lệ 1/50 tại địa điểm công trình sẽ di dời tới.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 Bản sao hoặc tệp tin chứa bản chụp chính báo cáo kết quả khảo sát đánh giá chất lượng hiện trạng của công trình do tổ chức, cá nhân có đủ điều kiện năng lực thực hiện.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 Bản sao hoặc tệp tin chứa bản chụp chính phương án di dời gồm:  + Phần thuyết minh về hiện trạng công trình và khu vực công trình sẽ được di dời đến; giải pháp di dời, phương án bố trí sử dụng phương tiện, thiết bị, nhân lực; giải pháp bảo đảm an toàn cho công trình, người, máy móc, thiết bị và công trình lân cận; bảo đảm vệ sinh môi trường; tiến độ di dời; tổ chức, cá nhân thực hiện di dời công trình;  + Phần bản vẽ biện pháp thi công di dời công trình.  Trường hợp thiết kế xây dựng của công trình đã được cơ quan chuyên môn về xây dựng thẩm định, các bản vẽ thiết kế là bản sao hoặc tệp tin chứa bản chụp các bản vẽ thiết kế xây dựng đã được cơ quan chuyên môn về xây dựng thẩm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 Ngoài ra, hồ sơ đề nghị cấp hồ sơ đề nghị cấp phép xây dựng còn phải bổ sung thêm các tài liệu khác đối với các trường hợp sau:  + Bản sao hoặc tệp tin chứa bản chụp chính báo cáo kết quả thẩm định thiết kế của cơ quan chuyên môn về xây dựng đối với công trình theo quy định phải được thẩm định thiết kế.  + Bản sao hoặc tệp tin chứa bản chụp chính văn bản bản cam kết của chủ đầu tư bảo đảm an toàn cho công trình và công trình lân cận đối với công trình xây chen, có tầng hầm.  + Bản sao hoặc tệp tin chứa bản chụp chính bản kê khai năng lực, kinh nghiệm của tổ chức, cá nhân thiết kế theo mẫu tại Phụ lục số 3 Thông tư số 15/2016/TT-BXD, kèm theo bản sao chứng chỉ hành nghề hoạt động xây dựng, đối với công trình chưa được cơ quan chuyên môn về xây dựng thẩm định thiết kế.  + Bản sao hoặc tệp tin chứa bản chụp chính quyết định đầu tư đối với công trình yêu cầu phải lập dự án đầu tư xây dựng.</w:t>
            </w:r>
          </w:p>
        </w:tc>
        <w:tc>
          <w:p/>
          <w:p>
            <w:pPr>
              <w:spacing w:after="0" w:before="0" w:lineRule="auto" w:line="276"/>
              <w:jc w:val="left"/>
            </w:pPr>
            <w:r>
              <w:rPr>
                <w:rFonts w:ascii="Times New Roman" w:hAnsi="Times New Roman" w:cs="Times New Roman" w:eastAsia="Times New Roman"/>
                <w:b w:val="false"/>
                <w:sz w:val="26"/>
              </w:rPr>
              <w:t>PHỤ LỤC SỐ 3.docx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HĐND-UBND cấp huyện, tỉnh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di dời công trình kèm theo hồ sơ thiết kế trình xin cấp giấy phép xây dựng có đóng dấu của UBND cấp huyện nơi tiếp nhận hồ sơ.</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59/2015/NĐ-CP</w:t>
            </w:r>
          </w:p>
        </w:tc>
        <w:tc>
          <w:p/>
          <w:p>
            <w:pPr>
              <w:spacing w:after="0" w:before="0" w:lineRule="auto" w:line="276"/>
              <w:jc w:val="left"/>
            </w:pPr>
            <w:r>
              <w:rPr>
                <w:rFonts w:ascii="Times New Roman" w:hAnsi="Times New Roman" w:cs="Times New Roman" w:eastAsia="Times New Roman"/>
                <w:b w:val="false"/>
                <w:sz w:val="26"/>
              </w:rPr>
              <w:t>Về quản lý dự án đầu tư xây dựng</w:t>
            </w:r>
          </w:p>
        </w:tc>
        <w:tc>
          <w:p/>
          <w:p>
            <w:pPr>
              <w:spacing w:after="0" w:before="0" w:lineRule="auto" w:line="276"/>
              <w:jc w:val="left"/>
            </w:pPr>
            <w:r>
              <w:rPr>
                <w:rFonts w:ascii="Times New Roman" w:hAnsi="Times New Roman" w:cs="Times New Roman" w:eastAsia="Times New Roman"/>
                <w:b w:val="false"/>
                <w:sz w:val="26"/>
              </w:rPr>
              <w:t>18-06-2015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50/2014/QH13</w:t>
            </w:r>
          </w:p>
        </w:tc>
        <w:tc>
          <w:p/>
          <w:p>
            <w:pPr>
              <w:spacing w:after="0" w:before="0" w:lineRule="auto" w:line="276"/>
              <w:jc w:val="left"/>
            </w:pPr>
            <w:r>
              <w:rPr>
                <w:rFonts w:ascii="Times New Roman" w:hAnsi="Times New Roman" w:cs="Times New Roman" w:eastAsia="Times New Roman"/>
                <w:b w:val="false"/>
                <w:sz w:val="26"/>
              </w:rPr>
              <w:t>Luật xây dựng</w:t>
            </w:r>
          </w:p>
        </w:tc>
        <w:tc>
          <w:p/>
          <w:p>
            <w:pPr>
              <w:spacing w:after="0" w:before="0" w:lineRule="auto" w:line="276"/>
              <w:jc w:val="left"/>
            </w:pPr>
            <w:r>
              <w:rPr>
                <w:rFonts w:ascii="Times New Roman" w:hAnsi="Times New Roman" w:cs="Times New Roman" w:eastAsia="Times New Roman"/>
                <w:b w:val="false"/>
                <w:sz w:val="26"/>
              </w:rPr>
              <w:t>18-06-2014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15/2016/TT-BXD</w:t>
            </w:r>
          </w:p>
        </w:tc>
        <w:tc>
          <w:p/>
          <w:p>
            <w:pPr>
              <w:spacing w:after="0" w:before="0" w:lineRule="auto" w:line="276"/>
              <w:jc w:val="left"/>
            </w:pPr>
            <w:r>
              <w:rPr>
                <w:rFonts w:ascii="Times New Roman" w:hAnsi="Times New Roman" w:cs="Times New Roman" w:eastAsia="Times New Roman"/>
                <w:b w:val="false"/>
                <w:sz w:val="26"/>
              </w:rPr>
              <w:t>Hướng dẫn về cấp giấy phép xây dựng</w:t>
            </w:r>
          </w:p>
        </w:tc>
        <w:tc>
          <w:p/>
          <w:p>
            <w:pPr>
              <w:spacing w:after="0" w:before="0" w:lineRule="auto" w:line="276"/>
              <w:jc w:val="left"/>
            </w:pPr>
            <w:r>
              <w:rPr>
                <w:rFonts w:ascii="Times New Roman" w:hAnsi="Times New Roman" w:cs="Times New Roman" w:eastAsia="Times New Roman"/>
                <w:b w:val="false"/>
                <w:sz w:val="26"/>
              </w:rPr>
              <w:t>30-06-2016</w:t>
            </w:r>
          </w:p>
        </w:tc>
        <w:tc>
          <w:p/>
          <w:p>
            <w:pPr>
              <w:spacing w:after="0" w:before="0" w:lineRule="auto" w:line="276"/>
              <w:jc w:val="left"/>
            </w:pPr>
            <w:r>
              <w:rPr>
                <w:rFonts w:ascii="Times New Roman" w:hAnsi="Times New Roman" w:cs="Times New Roman" w:eastAsia="Times New Roman"/>
                <w:b w:val="false"/>
                <w:sz w:val="26"/>
              </w:rPr>
              <w:t>Bộ Xây dựng</w:t>
            </w:r>
          </w:p>
        </w:tc>
      </w:tr>
      <w:tr>
        <w:tc>
          <w:p/>
          <w:p>
            <w:pPr>
              <w:spacing w:after="0" w:before="0" w:lineRule="auto" w:line="276"/>
              <w:jc w:val="left"/>
            </w:pPr>
            <w:r>
              <w:rPr>
                <w:rFonts w:ascii="Times New Roman" w:hAnsi="Times New Roman" w:cs="Times New Roman" w:eastAsia="Times New Roman"/>
                <w:b w:val="false"/>
                <w:sz w:val="26"/>
              </w:rPr>
              <w:t>4764/2016/QĐ-UBND</w:t>
            </w:r>
          </w:p>
        </w:tc>
        <w:tc>
          <w:p/>
          <w:p>
            <w:pPr>
              <w:spacing w:after="0" w:before="0" w:lineRule="auto" w:line="276"/>
              <w:jc w:val="left"/>
            </w:pPr>
            <w:r>
              <w:rPr>
                <w:rFonts w:ascii="Times New Roman" w:hAnsi="Times New Roman" w:cs="Times New Roman" w:eastAsia="Times New Roman"/>
                <w:b w:val="false"/>
                <w:sz w:val="26"/>
              </w:rPr>
              <w:t>về việc ban hành mức thu, miễn, giảm, thu, nộp, quản lý và sử dụng các khoản phí, lệ phí thuộc thẩm quyền của Hội đồng nhân dân tỉnh, áp dụng trên địa bàn tỉnh Thanh Hóa</w:t>
            </w:r>
          </w:p>
        </w:tc>
        <w:tc>
          <w:p/>
          <w:p>
            <w:pPr>
              <w:spacing w:after="0" w:before="0" w:lineRule="auto" w:line="276"/>
              <w:jc w:val="left"/>
            </w:pPr>
            <w:r>
              <w:rPr>
                <w:rFonts w:ascii="Times New Roman" w:hAnsi="Times New Roman" w:cs="Times New Roman" w:eastAsia="Times New Roman"/>
                <w:b w:val="false"/>
                <w:sz w:val="26"/>
              </w:rPr>
              <w:t>09-12-2016</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53/2017/NĐ-CP</w:t>
            </w:r>
          </w:p>
        </w:tc>
        <w:tc>
          <w:p/>
          <w:p>
            <w:pPr>
              <w:spacing w:after="0" w:before="0" w:lineRule="auto" w:line="276"/>
              <w:jc w:val="left"/>
            </w:pPr>
            <w:r>
              <w:rPr>
                <w:rFonts w:ascii="Times New Roman" w:hAnsi="Times New Roman" w:cs="Times New Roman" w:eastAsia="Times New Roman"/>
                <w:b w:val="false"/>
                <w:sz w:val="26"/>
              </w:rPr>
              <w:t>quy định các loại giấy tờ hợp pháp về đất đai để cấp giấy phép xây dựng</w:t>
            </w:r>
          </w:p>
        </w:tc>
        <w:tc>
          <w:p/>
          <w:p>
            <w:pPr>
              <w:spacing w:after="0" w:before="0" w:lineRule="auto" w:line="276"/>
              <w:jc w:val="left"/>
            </w:pPr>
            <w:r>
              <w:rPr>
                <w:rFonts w:ascii="Times New Roman" w:hAnsi="Times New Roman" w:cs="Times New Roman" w:eastAsia="Times New Roman"/>
                <w:b w:val="false"/>
                <w:sz w:val="26"/>
              </w:rPr>
              <w:t>08-05-2017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699/2017/QĐ-UBND</w:t>
            </w:r>
          </w:p>
        </w:tc>
        <w:tc>
          <w:p/>
          <w:p>
            <w:pPr>
              <w:spacing w:after="0" w:before="0" w:lineRule="auto" w:line="276"/>
              <w:jc w:val="left"/>
            </w:pPr>
            <w:r>
              <w:rPr>
                <w:rFonts w:ascii="Times New Roman" w:hAnsi="Times New Roman" w:cs="Times New Roman" w:eastAsia="Times New Roman"/>
                <w:b w:val="false"/>
                <w:sz w:val="26"/>
              </w:rPr>
              <w:t>quy định thẩm quyền cấp giấy phép xây dựng, quy mô công trình được cấp giấy phép xây dựng có thời hạn trên địa bàn tỉnh Thanh Hóa</w:t>
            </w:r>
          </w:p>
        </w:tc>
        <w:tc>
          <w:p/>
          <w:p>
            <w:pPr>
              <w:spacing w:after="0" w:before="0" w:lineRule="auto" w:line="276"/>
              <w:jc w:val="left"/>
            </w:pPr>
            <w:r>
              <w:rPr>
                <w:rFonts w:ascii="Times New Roman" w:hAnsi="Times New Roman" w:cs="Times New Roman" w:eastAsia="Times New Roman"/>
                <w:b w:val="false"/>
                <w:sz w:val="26"/>
              </w:rPr>
              <w:t>07-03-2017</w:t>
            </w:r>
          </w:p>
        </w:tc>
        <w:tc>
          <w:p/>
          <w:p>
            <w:pPr>
              <w:spacing w:after="0" w:before="0" w:lineRule="auto" w:line="276"/>
              <w:jc w:val="left"/>
            </w:pPr>
            <w:r>
              <w:rPr>
                <w:rFonts w:ascii="Times New Roman" w:hAnsi="Times New Roman" w:cs="Times New Roman" w:eastAsia="Times New Roman"/>
                <w:b w:val="false"/>
                <w:sz w:val="26"/>
              </w:rPr>
              <w:t>UBND tỉnh Thanh Hóa</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Điều kiện cấp giấy phép xây dựng đối với công trình trong đô thị
-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
- Phù hợp với mục đích sử dụng đất theo quy hoạch sử dụng đất được phê duyệt.
-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
- Thiết kế xây dựng công trình đã được thẩm định, phê duyệt theo quy định tại Điều 82 của Luật Xây dựng số 50/2014/QH13 ngày 18/6/2014.
- Hồ sơ đề nghị cấp giấy phép xây dựng phù hợp với từng loại giấy phép theo quy định.
* Điều kiện cấp giấy phép xây dựng đối với công trình không theo tuyến ngoài đô thị
- Phù hợp với vị trí và tổng mặt bằng của dự án đã được cơ quan nhà nước có thẩm quyền chấp thuận bằng văn bản.
-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
- Thiết kế xây dựng công trình đã được thẩm định, phê duyệt theo quy định tại Điều 82 của Luật Xây dựng số 50/2014/QH13 ngày 18/6/2014.
- Hồ sơ đề nghị cấp giấy phép xây dựng phù hợp với từng loại giấy phép theo quy định.
* Điều kiện cấp giấy phép xây dựng đối với nhà ở riêng lẻ
- Điều kiện chung cấp giấy phép xây dựng đối với nhà ở riêng lẻ tại đô thị gồm:
+ Phù hợp với mục đích sử dụng đất theo quy hoạch sử dụng đất được phê duyệt;
+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
+ Thiết kế xây dựng nhà ở riêng lẻ được thực hiện theo quy định tại khoản 7 Điều 79 của Luật Xây dựng số 50/2014/QH13 ngày 18/6/2014;
+ Hồ sơ đề nghị cấp giấy phép xây dựng theo quy định.
- Đối với nhà ở riêng lẻ tại đô thị phải đáp ứng các điều kiện chung nêu trên và phù hợp với quy hoạch chi tiết xây dựng; đối với nhà ở riêng lẻ thuộc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
- Đối với nhà ở riêng lẻ tại nông thôn khi xây dựng phải phù hợp với quy hoạch chi tiết xây dựng điểm dân cư nông thôn.
* Điều kiện cấp giấy phép xây dựng có thời hạn
- Điều kiện chung cấp giấy phép xây dựng có thời hạn gồm:
+ Thuộc khu vực có quy hoạch phân khu xây dựng được cơ quan nhà nước có thẩm quyền phê duyệt, công bố nhưng chưa thực hiện và chưa có quyết định thu hồi đất của cơ quan nhà nước có thẩm quyền;
+ Phù hợp với quy mô công trình do Ủy ban nhân dân cấp tỉnh quy định cho từng khu vực và thời hạn tồn tại của công trình theo kế hoạch thực hiện quy hoạch phân khu xây dựng đã được phê duyệt;
+ Chủ đầu tư cam kết tự phá dỡ công trình khi hết thời hạn tồn tại được ghi trong giấy phép xây dựng có thời hạn, nếu không tự phá dỡ thì bị cưỡng chế và chịu mọi chi phí cho việc cưỡng chế phá dỡ.
- Đối với công trình được cấp giấy phép xây dựng có thời hạn phải đáp ứng điều kiện chung nêu trên và đáp ứng điều kiện:
+ Phù hợp với mục đích sử dụng đất theo quy hoạch sử dụng đất được phê duyệt.
+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
+ Thiết kế xây dựng công trình đã được thẩm định, phê duyệt theo quy định tại Điều 82 của Luật Xây dựng số 50/2014/QH13 ngày 18/6/2014.
+ Hồ sơ đề nghị cấp giấy phép xây dựng phù hợp với từng loại giấy phép theo quy định.
- Đối với nhà ở riêng lẻ phải đáp ứng điều kiện điều kiện chung nêu trên và đáp ứng các điều kiện:
+ Phù hợp với mục đích sử dụng đất theo quy hoạch sử dụng đất được phê duyệt;
+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
+ Thiết kế xây dựng nhà ở riêng lẻ được thực hiện theo quy định tại khoản 7 Điều 79 của Luật Xây dựng số 50/2014/QH13 ngày 18/6/2014;
+ Hồ sơ đề nghị cấp giấy phép xây dựng theo quy định.
- Đối với công trình, nhà ở riêng lẻ được cấp giấy phép xây dựng có thời hạn, khi hết thời hạn mà kế hoạch thực hiện quy hoạch xây dựng chưa được triển khai thì cơ quan đã cấp giấy phép xây dựng có trách nhiệm thông báo cho chủ sở hữu công trình hoặc người được giao sử dụng công trình về điều chỉnh quy hoạch xây dựng và thực hiện gia hạn giấy phép xây dựng có thời hạn.
- Đối với công trình, nhà ở riêng lẻ thuộc khu vực đã có quy hoạch phân khu xây dựng được cơ quan nhà nước có thẩm quyền phê duyệt và có kế hoạch sử dụng đất hàng năm của cấp huyện thì không cấp giấy phép xây dựng có thời hạn cho việc xây dựng mới mà chỉ cấp giấy phép xây dựng có thời hạn để sửa chữa, cải tạo.
</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2024-03-29T10:57:51Z</dcterms:created>
  <dc:creator>Apache POI</dc:creator>
</cp:coreProperties>
</file>