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1.008157</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1102/QĐ-UBND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đăng ký biến động về sử dụng đất, tài sản gắn liền với đất do thay đổi thông tin về người được cấp Giấy chứng nhận (đổi tên hoặc giấy tờ pháp nhân, giấy tờ nhân thân, địa chỉ); giảm diện tích thửa đất do sạt lở tự nhiên; thay đổi về hạn chế quyền sử dụng đất; thay đổi về nghĩa vụ tài chính; thay đổi về tài sản gắn liền với đất so với nội dung đã đăng ký, cấp Giấy chứng nhận (Chi nhánh)</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 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Đất đai</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a) Trực tiếp
(1). Thời gian tiếp nhận và trả kết quả: Trong giờ hành chính các ngày từ thứ 2 đến thứ 6 hàng tuần (trừ các ngày nghỉ Lễ, Tết theo quy định).
(2). Địa điểm tiếp nhận và trả kết quả:
Chi nhánh Văn phòng đăng ký đất đai tại Bộ phận tiếp nhận và trả kết quả thuộc Văn phòng HĐND và UBND cấp huyện. 
Hộ gia đình, cá nhân, cộng đồng dân cư, người Việt Nam định cư ở nước ngoài được sở hữu nhà ở gắn liền với quyền sử dụng đất ở tại Việt Nam (viết tắt là hộ gia đình, cá nhân) nộp hồ sơ tại Ủy ban nhân cấp xã nơi có đất nếu có nhu cầu.
(3) Người sử dụng đất chuẩn bị và nộp đầy đủ hồ sơ theo quy định.
- Trường hợp nhận hồ sơ chưa đầy đủ, chưa hợp lệ thì trong thời gian tối đa 03 ngày làm việc, cơ quan tiếp nhận, xử lý hồ sơ phải thông báo và hướng dẫn người nộp hồ sơ bổ sung, hoàn chỉnh hồ sơ theo quy định. 
- Trường hợp người sử dụng đất có nhu cầu chuyển mục đích sử dụng đất kết hợp với đăng ký biến động về các nội dung của thủ tục này thì thực hiện thủ tục này đồng thời với thủ tục chuyển mục đích sử dụng đất.
(4) Cơ quan tiếp nhận hồ sơ nhập đầy đủ thông tin vào Hệ thống thông tin giải quyết TTHC, in Phiếu tiếp nhận hồ sơ và trả kết quả cho người nộp hồ sơ.
Trường hợp nộp hồ sơ tại Ủy ban nhân dân cấp xã thì trong thời hạn 03 ngày làm việc kể từ ngày nhận đủ hồ sơ, Ủy ban nhân dân cấp xã phải chuyển hồ sơ đến Chi nhánh Văn phòng đăng ký đất đai
- Kể từ ngày nhận đủ hồ sơ hợp lệ, Chi nhánh Văn phòng đăng ký đất đai có trách nhiệm kiểm tra hồ sơ, nếu đủ điều kiện thực hiện các quyền theo quy định thì thực hiện các công việc sau đây:
+ Trích đo địa chính thửa đất đối với trường hợp có thay đổi về diện tích thửa đất, tài sản gắn liền với đất hoặc trường hợp đã cấp Giấy chứng nhận nhưng chưa có bản đồ địa chính, chưa trích đo địa chính thửa đất;
+ Trường hợp đăng ký thay đổi diện tích xây dựng, diện tích sử dụng, tầng cao, kết cấu, cấp (hạng) nhà hoặc công trình xây dựng mà không phù hợp với giấy phép xây dựng hoặc không có giấy phép xây dựng đối với trường hợp phải xin phép thì gửi phiếu lấy ý kiến của cơ quan quản lý, cấp phép xây dựng theo quy định của pháp luật về xây dựng;
+ Gửi thông tin địa chính cho cơ quan thuế để xác định và thông báo thu nghĩa vụ tài chính đối với trường hợp phải nộp tiền sử dụng đất, tiền thuê đất theo quy định của pháp luật;
+ Xác nhận thay đổi vào Giấy chứng nhận đã cấp hoặc cấp Giấy chứng nhận quyền sử dụng đất, quyền sở hữu nhà ở và tài sản khác gắn liền với đất đối với trường hợp phải cấp lại Giấy chứng nhận theo quy định của Bộ Tài nguyên và Môi trường; thông báo cho người sử dụng đất ký hoặc ký lại hợp đồng thuê đất với cơ quan tài nguyên và môi trường đối với trường hợp phải thuê đất;
+ Chỉnh lý, cập nhật biến động vào hồ sơ địa chính, cơ sở dữ liệu đất đai và gửi kết quả về Bộ phận tiếp nhận và trả kết quả hoặc gửi Ủy ban nhân dân cấp xã đối với trường hợp nộp hồ sơ tại cấp xã để trao cho người sử dụng đất
- Trong thời hạn 05 ngày làm việc, Cơ quan quản lý nhà nước về xây dựng, nông nghiệp gửi văn bản tham gia ý kiến theo quy định; Cơ quan thuế xác định và thông báo thu nghĩa vụ tài chính đối với trường hợp phải thực hiện nghĩa vụ tài chính theo quy định; 
b. Thực hiện thủ tục trên môi trường điện tử
Cơ quan tiếp nhận, giải quyết hồ sơ có trách nhiệm thực hiện các trình tự, thủ tục hành chính về đất đai theo quy định của pháp luật về đất đai; trường hợp cần phải kiểm tra, xác minh làm rõ hoặc do nguyên nhân khác mà không trả kết quả giải quyết hồ sơ theo đúng quy định về thời gian giải quyết thủ tục hành chính về đất đai thì cơ quan tiếp nhận hồ sơ, giải quyết thủ tục gửi thông báo bằng văn bản hoặc qua Cổng dịch vụ công hoặc qua tin nhắn SMS cho người yêu cầu, trong đó nêu rõ lý do.
Người sử dụng đất, chủ sở hữu tài sản gắn liền với đất có trách nhiệm hoàn thành nghĩa vụ tài chính theo quy định của pháp luật bằng hình thức trực tiếp hoặc trực tuyến thông qua chức năng thanh toán của Cổng dịch vụ công. 
Cơ quan tiếp nhận hoặc cơ quan giải quyết hồ sơ thông báo cho người yêu cầu thực hiện thủ tục hành chính nộp bản chính Giấy chứng nhận đã cấp, các giấy tờ theo quy định sau khi người sử dụng đất hoàn thành nghĩa vụ tài chính. 
Việc trả kết quả giải quyết thủ tục hành chính được thực hiện tại cơ quan tiếp nhận hồ sơ hoặc qua dịch vụ bưu chính công ích hoặc tại địa điểm theo yêu cầu đối với trường hợp tiếp nhận hồ sơ và trả kết quả giải quyết thủ tục đăng ký đất đai, tài sản khác gắn liền với đất</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15 Ngày làm việc</w:t>
            </w:r>
          </w:p>
        </w:tc>
        <w:tc>
          <w:p/>
          <w:p>
            <w:pPr>
              <w:spacing w:after="0" w:before="0" w:lineRule="auto" w:line="276"/>
              <w:jc w:val="left"/>
            </w:pPr>
            <w:r>
              <w:rPr>
                <w:rFonts w:ascii="Times New Roman" w:hAnsi="Times New Roman" w:cs="Times New Roman" w:eastAsia="Times New Roman"/>
                <w:b w:val="false"/>
                <w:sz w:val="26"/>
              </w:rPr>
              <w:t xml:space="preserve">Phí :  </w:t>
              <w:t xml:space="preserve"> (Theo biểu đính kèm)</w:t>
              <w:br/>
              <w:t>File đính kèm: Biểu phí, lệ phí theo Nghị quyết 289.docx</w:t>
            </w:r>
          </w:p>
          <w:p>
            <w:pPr>
              <w:spacing w:after="0" w:before="0" w:lineRule="auto" w:line="276"/>
              <w:jc w:val="left"/>
            </w:pPr>
            <w:r>
              <w:rPr>
                <w:rFonts w:ascii="Times New Roman" w:hAnsi="Times New Roman" w:cs="Times New Roman" w:eastAsia="Times New Roman"/>
                <w:b w:val="false"/>
                <w:sz w:val="26"/>
              </w:rPr>
              <w:t xml:space="preserve">Lệ phí :  </w:t>
              <w:t xml:space="preserve"> (Theo biểu đính kèm)</w:t>
              <w:br/>
              <w:t>File đính kèm: Biểu phí, lệ phí theo Nghị quyết 289.docx</w:t>
            </w:r>
          </w:p>
        </w:tc>
        <w:tc>
          <w:p/>
          <w:p>
            <w:pPr>
              <w:spacing w:after="0" w:before="0" w:lineRule="auto" w:line="276"/>
              <w:jc w:val="left"/>
            </w:pPr>
            <w:r>
              <w:rPr>
                <w:rFonts w:ascii="Times New Roman" w:hAnsi="Times New Roman" w:cs="Times New Roman" w:eastAsia="Times New Roman"/>
                <w:b w:val="false"/>
                <w:sz w:val="26"/>
              </w:rPr>
              <w:t>- Tại Chi nhánh Văn phòng Đăng ký đất đai: 10 ngày làm việc.
- Tại Cơ quan quản lý nhà nước về xây dựng, nông nghiệp; Cơ quan thuế: 05 ngày làm việc, Cơ quan quản lý nhà nước về xây dựng gửi văn bản tham gia ý kiến; Cơ quan thuế gửi Thông báo nghĩa vụ tài chính.
Thời gian này không tính thời gian các ngày nghỉ, ngày lễ theo quy định của pháp luật; không tính thời gian tiếp nhận hồ sơ tại cấp xã, thời gian thực hiện nghĩa vụ tài chính của người sử dụng đất; không tính thời gian xem xét xử lý đối với trường hợp sử dụng đất có vi phạm pháp luật, thời gian trưng cầu giám định.
Đối với các xã miền núi, hải đảo, vùng sâu, vùng xa, vùng có điều kiện kinh tế - xã hội khó khăn, vùng có điều kiện kinh tế - xã hội đặc biệt khó khăn thì thời gian thực hiện được tăng thêm 10 ngày làm việc.
Kết quả giải quyết thủ tục hành chính phải trả cho người sử dụng đất, chủ sở hữu tài sản gắn liền với đất trong thời hạn không quá 03 ngày làm việc kể từ ngày có kết quả giải quyết.</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15 Ngày làm việc</w:t>
            </w:r>
          </w:p>
        </w:tc>
        <w:tc>
          <w:p/>
          <w:p>
            <w:pPr>
              <w:spacing w:after="0" w:before="0" w:lineRule="auto" w:line="276"/>
              <w:jc w:val="left"/>
            </w:pPr>
            <w:r>
              <w:rPr>
                <w:rFonts w:ascii="Times New Roman" w:hAnsi="Times New Roman" w:cs="Times New Roman" w:eastAsia="Times New Roman"/>
                <w:b w:val="false"/>
                <w:sz w:val="26"/>
              </w:rPr>
              <w:t>Phí :  Đồng</w:t>
              <w:t xml:space="preserve"> (Lệ phí theo biểu đính kèm)</w:t>
              <w:br/>
              <w:t>File đính kèm: Lệ phí địa chính (TT4).docx</w:t>
            </w:r>
          </w:p>
          <w:p>
            <w:pPr>
              <w:spacing w:after="0" w:before="0" w:lineRule="auto" w:line="276"/>
              <w:jc w:val="left"/>
            </w:pPr>
            <w:r>
              <w:rPr>
                <w:rFonts w:ascii="Times New Roman" w:hAnsi="Times New Roman" w:cs="Times New Roman" w:eastAsia="Times New Roman"/>
                <w:b w:val="false"/>
                <w:sz w:val="26"/>
              </w:rPr>
              <w:t xml:space="preserve">Lệ phí :  </w:t>
              <w:t xml:space="preserve"> (Theo biểu đính kèm)</w:t>
            </w:r>
          </w:p>
        </w:tc>
        <w:tc>
          <w:p/>
          <w:p>
            <w:pPr>
              <w:spacing w:after="0" w:before="0" w:lineRule="auto" w:line="276"/>
              <w:jc w:val="left"/>
            </w:pPr>
            <w:r>
              <w:rPr>
                <w:rFonts w:ascii="Times New Roman" w:hAnsi="Times New Roman" w:cs="Times New Roman" w:eastAsia="Times New Roman"/>
                <w:b w:val="false"/>
                <w:sz w:val="26"/>
              </w:rPr>
              <w:t>- Tại Chi nhánh Văn phòng Đăng ký đất đai: 10 ngày làm việc.
- Tại Cơ quan quản lý nhà nước về xây dựng, nông nghiệp; Cơ quan thuế: 05 ngày làm việc, Cơ quan quản lý nhà nước về xây dựng gửi văn bản tham gia ý kiến; Cơ quan thuế gửi Thông báo nghĩa vụ tài chính.
Thời gian này không tính thời gian các ngày nghỉ, ngày lễ theo quy định của pháp luật; không tính thời gian tiếp nhận hồ sơ tại cấp xã, thời gian thực hiện nghĩa vụ tài chính của người sử dụng đất; không tính thời gian xem xét xử lý đối với trường hợp sử dụng đất có vi phạm pháp luật, thời gian trưng cầu giám định.
Đối với các xã miền núi, hải đảo, vùng sâu, vùng xa, vùng có điều kiện kinh tế - xã hội khó khăn, vùng có điều kiện kinh tế - xã hội đặc biệt khó khăn thì thời gian thực hiện được tăng thêm 10 ngày làm việc.
Kết quả giải quyết thủ tục hành chính phải trả cho người sử dụng đất, chủ sở hữu tài sản gắn liền với đất trong thời hạn không quá 03 ngày làm việc kể từ ngày có kết quả giải quyết.
Địa chỉ trực tuyến: https://dichvucong.thanhhoa.gov.vn (một phần)</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15 Ngày làm việc</w:t>
            </w:r>
          </w:p>
        </w:tc>
        <w:tc>
          <w:p/>
          <w:p>
            <w:pPr>
              <w:spacing w:after="0" w:before="0" w:lineRule="auto" w:line="276"/>
              <w:jc w:val="left"/>
            </w:pPr>
            <w:r>
              <w:rPr>
                <w:rFonts w:ascii="Times New Roman" w:hAnsi="Times New Roman" w:cs="Times New Roman" w:eastAsia="Times New Roman"/>
                <w:b w:val="false"/>
                <w:sz w:val="26"/>
              </w:rPr>
              <w:t xml:space="preserve">Phí :  </w:t>
              <w:t xml:space="preserve"> (Theo biểu đính kèm)</w:t>
              <w:br/>
              <w:t>File đính kèm: Biểu phí, lệ phí theo Nghị quyết 289.docx</w:t>
            </w:r>
          </w:p>
          <w:p>
            <w:pPr>
              <w:spacing w:after="0" w:before="0" w:lineRule="auto" w:line="276"/>
              <w:jc w:val="left"/>
            </w:pPr>
            <w:r>
              <w:rPr>
                <w:rFonts w:ascii="Times New Roman" w:hAnsi="Times New Roman" w:cs="Times New Roman" w:eastAsia="Times New Roman"/>
                <w:b w:val="false"/>
                <w:sz w:val="26"/>
              </w:rPr>
              <w:t xml:space="preserve">Lệ phí :  </w:t>
              <w:t xml:space="preserve"> (Theo biểu đính kèm)</w:t>
              <w:br/>
              <w:t>File đính kèm: Biểu phí, lệ phí theo Nghị quyết 289.docx</w:t>
            </w:r>
          </w:p>
        </w:tc>
        <w:tc>
          <w:p/>
          <w:p>
            <w:pPr>
              <w:spacing w:after="0" w:before="0" w:lineRule="auto" w:line="276"/>
              <w:jc w:val="left"/>
            </w:pPr>
            <w:r>
              <w:rPr>
                <w:rFonts w:ascii="Times New Roman" w:hAnsi="Times New Roman" w:cs="Times New Roman" w:eastAsia="Times New Roman"/>
                <w:b w:val="false"/>
                <w:sz w:val="26"/>
              </w:rPr>
              <w:t>- Tại Chi nhánh Văn phòng Đăng ký đất đai: 10 ngày làm việc.
- Tại Cơ quan quản lý nhà nước về xây dựng, nông nghiệp; Cơ quan thuế: 05 ngày làm việc, Cơ quan quản lý nhà nước về xây dựng gửi văn bản tham gia ý kiến; Cơ quan thuế gửi Thông báo nghĩa vụ tài chính.
Thời gian này không tính thời gian các ngày nghỉ, ngày lễ theo quy định của pháp luật; không tính thời gian tiếp nhận hồ sơ tại cấp xã, thời gian thực hiện nghĩa vụ tài chính của người sử dụng đất; không tính thời gian xem xét xử lý đối với trường hợp sử dụng đất có vi phạm pháp luật, thời gian trưng cầu giám định.
Đối với các xã miền núi, hải đảo, vùng sâu, vùng xa, vùng có điều kiện kinh tế - xã hội khó khăn, vùng có điều kiện kinh tế - xã hội đặc biệt khó khăn thì thời gian thực hiện được tăng thêm 10 ngày làm việc.
Kết quả giải quyết thủ tục hành chính phải trả cho người sử dụng đất, chủ sở hữu tài sản gắn liền với đất trong thời hạn không quá 03 ngày làm việc kể từ ngày có kết quả giải quyết.</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3.2) Hồ sơ thực hiện nghĩa vụ tài chính:</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Tờ khai lệ phí trước bạ: Bản chính;</w:t>
            </w:r>
          </w:p>
        </w:tc>
        <w:tc>
          <w:p/>
          <w:p>
            <w:pPr>
              <w:spacing w:after="0" w:before="0" w:lineRule="auto" w:line="276"/>
              <w:jc w:val="left"/>
            </w:pPr>
            <w:r>
              <w:rPr>
                <w:rFonts w:ascii="Times New Roman" w:hAnsi="Times New Roman" w:cs="Times New Roman" w:eastAsia="Times New Roman"/>
                <w:b w:val="false"/>
                <w:sz w:val="26"/>
              </w:rPr>
              <w:t>lptb (Mẫu số 01LPTB).doc</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Tờ khai thuế sử dụng đất phi nông nghiệp (nếu có)</w:t>
            </w:r>
          </w:p>
        </w:tc>
        <w:tc>
          <w:p/>
          <w:p>
            <w:pPr>
              <w:spacing w:after="0" w:before="0" w:lineRule="auto" w:line="276"/>
              <w:jc w:val="left"/>
            </w:pPr>
            <w:r>
              <w:rPr>
                <w:rFonts w:ascii="Times New Roman" w:hAnsi="Times New Roman" w:cs="Times New Roman" w:eastAsia="Times New Roman"/>
                <w:b w:val="false"/>
                <w:sz w:val="26"/>
              </w:rPr>
              <w:t>PNN (04).docx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Văn bản của người sử dụng đất đề nghị được miễn, giảm các khoản nghĩa vụ tài chính về đất đai:</w:t>
            </w:r>
          </w:p>
        </w:tc>
        <w:tc>
          <w:p/>
          <w:p>
            <w:pPr>
              <w:spacing w:after="0" w:before="0" w:lineRule="auto" w:line="276"/>
              <w:jc w:val="left"/>
            </w:pPr>
            <w:r>
              <w:rPr>
                <w:rFonts w:ascii="Times New Roman" w:hAnsi="Times New Roman" w:cs="Times New Roman" w:eastAsia="Times New Roman"/>
                <w:b w:val="false"/>
                <w:sz w:val="26"/>
              </w:rPr>
              <w:t>mẫu 01.MGTH.doc</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Bản sao các giấy tờ chứng minh thuộc đối tượng được miễn, giảm theo quy định của pháp luật (nếu có)</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 Bản sao Giấy tờ chứng minh thuộc đối tượng không phải nộp nghĩa vụ tài chính theo quy định của pháp luật (nếu có)</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bl>
    <w:p>
      <w:pPr>
        <w:shd w:val="clear" w:color="auto" w:fill="F2F6F9"/>
        <w:spacing w:after="0" w:before="120" w:lineRule="auto" w:line="276"/>
        <w:jc w:val="both"/>
      </w:pPr>
      <w:r>
        <w:rPr>
          <w:rFonts w:ascii="Times New Roman" w:hAnsi="Times New Roman" w:cs="Times New Roman" w:eastAsia="Times New Roman"/>
          <w:b w:val="true"/>
          <w:sz w:val="26"/>
        </w:rPr>
        <w:t xml:space="preserve">a) Trường hợp đăng ký biến động về sử dụng đất, tài sản gắn liền với đất do người sử dụng đất, chủ sở hữu tài sản gắn liền với đất được đổi tên; giảm diện tích thửa đất do sạt lở tự nhiên; thay đổi về hạn chế quyền sử dụng đất; thay đổi về nghĩa vụ tài chính; thay đổi về tài sản gắn liền với đất so với nội dung đã đăng ký, cấp Giấy chứng nhận </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Đơn đăng ký biến động đất đai, tài sản gắn liền với đất theo Mẫu số 09/ĐK;</w:t>
            </w:r>
          </w:p>
        </w:tc>
        <w:tc>
          <w:p/>
          <w:p>
            <w:pPr>
              <w:spacing w:after="0" w:before="0" w:lineRule="auto" w:line="276"/>
              <w:jc w:val="left"/>
            </w:pPr>
            <w:r>
              <w:rPr>
                <w:rFonts w:ascii="Times New Roman" w:hAnsi="Times New Roman" w:cs="Times New Roman" w:eastAsia="Times New Roman"/>
                <w:b w:val="false"/>
                <w:sz w:val="26"/>
              </w:rPr>
              <w:t>Mẫu 09.docx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Bản gốc Giấy chứng nhận đã cấp;</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-Một trong số các giấy tờ liên quan đến nội dung biến động: + Văn bản công nhận của cơ quan nhà nước có thẩm quyền theo quy định của pháp luật đối với trường hợp cá nhân hoặc người đại diện hộ gia đình thay đổi họ, tên; + Văn bản thỏa thuận của hộ gia đình được Ủy ban nhân dân cấp xã xác nhận đối với trường hợp thay đổi người đại diện là thành viên khác trong hộ; trường hợp thay đổi người đại diện là chủ hộ gia đình thì cơ quan giải quyết thủ tục có trách nhiệm khai thác, sử dụng thông tin về chủ hộ trong Cơ sở dữ liệu quốc gia về dân cư theo quy định tại Điều 14 Nghị định số 104/2022/NĐ-CP ngày 21 tháng 12 năm 2022 của Chính phủ sửa đổi, bổ sung một số điều của các nghị định liên quan đến việc nộp, xuất trình sổ hộ khẩu, sổ tạm trú giấy khi thực hiện thủ tục hành chính, cung cấp dịch vụ công; + Văn bản thỏa thuận của cộng đồng dân cư được Ủy ban nhân dân cấp xã xác nhận đối với trường hợp cộng đồng dân cư đổi tên; + Văn bản xác nhận của Ủy ban nhân dân cấp xã về tình trạng sạt lở tự nhiên đối với trường hợp giảm diện tích thửa đất, tài sản gắn liền với đất do sạt lở tự nhiên; + Chứng từ về việc nộp nghĩa vụ tài chính đối với trường hợp Giấy chứng nhận đã cấp có ghi nợ hoặc chậm nộp nghĩa vụ tài chính, trừ trường hợp người sử dụng đất được miễn giảm hoặc không phải nộp do thay đổi quy định của pháp luật;  + Quyết định của cơ quan nhà nước có thẩm quyền về việc thay đổi hạn chế về quyềnsử dụng đất, quyền sở hữu tài sản gắn liền với đất ghi trên Giấy chứng nhận đối với trường hợp có hạn chế theo quyết định giao đất, cho thuê đất, công nhận quyền sử dụng đất; trường hợp có thay đổi hạn chế theo văn bản chuyển quyền sử dụng đất thì phải có văn bản chấp thuận thay đổi hạn chế của người có quyền lợi liên quan, được Ủy ban nhân dân cấp xã xác nhận;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Bản sao một trong số các giấy tờ quy định tại các Điều 31, 32, 33 và 34 của Nghị định số 43/2014/NĐ-CP thể hiện nội dung thay đổi đối với trường hợp thay đổi thông tin về tài sản gắn liền với đất đã ghi trên Giấy chứng nhận.</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 Đối với trường hợp thực hiện thủ tục đăng ký biến động đất đai, tài sản gắn liền với đất  mà có thay đổi thông tin về pháp nhân, số Giấy chứng minh nhân dân, số thẻ Căn cước công dân, số định danh cá nhân, địa chỉ trên Giấy chứng nhận đã cấp thì thực hiện như sau:  + Đối với cá nhân thì cơ quan giải quyết thủ tục có trách nhiệm khai thác, sử dụng thông tin trong Cơ sở dữ liệu quốc gia về dân cư theo quy định tại Điều 14 Nghị định số 104/2022/NĐ-CP ngày 21 tháng 12 năm 2022 của Chính phủ sửa đổi, bổ sung một số điều của các nghị định liên quan đến việc nộp, xuất trình sổ hộ khẩu, sổ tạm trú giấy khi thực hiện thủ tục hành chính, cung cấp dịch vụ công;</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bl>
    <w:p>
      <w:pPr>
        <w:shd w:val="clear" w:color="auto" w:fill="F2F6F9"/>
        <w:spacing w:after="0" w:before="120" w:lineRule="auto" w:line="276"/>
        <w:jc w:val="both"/>
      </w:pPr>
      <w:r>
        <w:rPr>
          <w:rFonts w:ascii="Times New Roman" w:hAnsi="Times New Roman" w:cs="Times New Roman" w:eastAsia="Times New Roman"/>
          <w:b w:val="true"/>
          <w:sz w:val="26"/>
        </w:rPr>
        <w:t xml:space="preserve">b) Trường hợp xác nhận thay đổi thông tin về pháp nhân, số Giấy chứng minh nhân dân, số thẻ Căn cước công dân, số định danh cá nhân, địa chỉ trên Giấy chứng nhận đã cấp theo nhu cầu của người sử dụng đất, chủ sở hữu tài sản gắn liền với đất, gồm có: </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Đơn đăng ký biến động đất đai, tài sản gắn liền với đất theo Mẫu số 09/ĐK (được sửa đổi, bổ sung tại Thông tư số 14/2023/TT-BTNMT ngày 16 tháng 10 năm 2023);</w:t>
            </w:r>
          </w:p>
        </w:tc>
        <w:tc>
          <w:p/>
          <w:p>
            <w:pPr>
              <w:spacing w:after="0" w:before="0" w:lineRule="auto" w:line="276"/>
              <w:jc w:val="left"/>
            </w:pPr>
            <w:r>
              <w:rPr>
                <w:rFonts w:ascii="Times New Roman" w:hAnsi="Times New Roman" w:cs="Times New Roman" w:eastAsia="Times New Roman"/>
                <w:b w:val="false"/>
                <w:sz w:val="26"/>
              </w:rPr>
              <w:t>Mẫu 09.docx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Bản gốc Giấy chứng nhận đã được cấp</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c) Trường hợp thay đổi số Giấy CMND hoặc Giấy chứng minh quân đội hoặc thẻ Căn cước công dân hoặc số định danh cá nhân hoặc giấy tờ khác chứng minh thay đổi nhân thân của người có tên trên Giấy chứng nhận hoặc địa chỉ trên Giấy chứng nhận đã cấp thì cơ quan giải quyết thủ tục có trách nhiệm khai thác, sử dụng thông tin trong Cơ sở dữ liệu quốc gia về dân cư theo quy định tại Điều 14 Nghị định số 104/2022/NĐ-CP ngày 21 tháng 12 năm 2022 của Chính phủ sửa đổi, bổ sung một số điều của các nghị định liên quan đến việc nộp, xuất trình sổ hộ khẩu, sổ tạm trú giấy khi thực hiện thủ tục hành chính, cung cấp dịch vụ công;</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Việt Nam định cư ở nước ngoài</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Chi nhánh Văn phòng đăng ký đất đai</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Chi nhánh Văn phòng đăng ký đất đai</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Chi nhánh Văn phòng đăng ký đất đai (Sở Tài nguyên và Môi trường) tại Bộ phận tiếp nhận và trả kết quả thuộc Văn phòng HĐND và UBND cấp huyện; Bộ phận tiếp nhận và trả kết quả thuộc UBND cấp xã</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Cơ quan thuế, Ủy ban nhân dân cấp xã, Cơ quan quản lý nhà nước về nhà ở, công trình xây dựng, nông nghiệp, Kho bạc</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 Ghi vào sổ địa chính và lập hồ sơ để Nhà nước quản lý.   - Giấy chứng nhận đã xác nhận thay đổi hoặc Giấy chứng nhận cấp mới.</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92/2015/TT-BTC</w:t>
            </w:r>
          </w:p>
        </w:tc>
        <w:tc>
          <w:p/>
          <w:p>
            <w:pPr>
              <w:spacing w:after="0" w:before="0" w:lineRule="auto" w:line="276"/>
              <w:jc w:val="left"/>
            </w:pPr>
            <w:r>
              <w:rPr>
                <w:rFonts w:ascii="Times New Roman" w:hAnsi="Times New Roman" w:cs="Times New Roman" w:eastAsia="Times New Roman"/>
                <w:b w:val="false"/>
                <w:sz w:val="26"/>
              </w:rPr>
              <w:t>Thông tư 92/2015/TT-BTC</w:t>
            </w:r>
          </w:p>
        </w:tc>
        <w:tc>
          <w:p/>
          <w:p>
            <w:pPr>
              <w:spacing w:after="0" w:before="0" w:lineRule="auto" w:line="276"/>
              <w:jc w:val="left"/>
            </w:pPr>
            <w:r>
              <w:rPr>
                <w:rFonts w:ascii="Times New Roman" w:hAnsi="Times New Roman" w:cs="Times New Roman" w:eastAsia="Times New Roman"/>
                <w:b w:val="false"/>
                <w:sz w:val="26"/>
              </w:rPr>
              <w:t>15-06-2015</w:t>
            </w:r>
          </w:p>
        </w:tc>
        <w:tc>
          <w:p/>
          <w:p>
            <w:pPr>
              <w:spacing w:after="0" w:before="0" w:lineRule="auto" w:line="276"/>
              <w:jc w:val="left"/>
            </w:pPr>
            <w:r>
              <w:rPr>
                <w:rFonts w:ascii="Times New Roman" w:hAnsi="Times New Roman" w:cs="Times New Roman" w:eastAsia="Times New Roman"/>
                <w:b w:val="false"/>
                <w:sz w:val="26"/>
              </w:rPr>
              <w:t>Bộ Tài chính</w:t>
            </w:r>
          </w:p>
        </w:tc>
      </w:tr>
      <w:tr>
        <w:tc>
          <w:p/>
          <w:p>
            <w:pPr>
              <w:spacing w:after="0" w:before="0" w:lineRule="auto" w:line="276"/>
              <w:jc w:val="left"/>
            </w:pPr>
            <w:r>
              <w:rPr>
                <w:rFonts w:ascii="Times New Roman" w:hAnsi="Times New Roman" w:cs="Times New Roman" w:eastAsia="Times New Roman"/>
                <w:b w:val="false"/>
                <w:sz w:val="26"/>
              </w:rPr>
              <w:t>43/2014/NĐ-CP</w:t>
            </w:r>
          </w:p>
        </w:tc>
        <w:tc>
          <w:p/>
          <w:p>
            <w:pPr>
              <w:spacing w:after="0" w:before="0" w:lineRule="auto" w:line="276"/>
              <w:jc w:val="left"/>
            </w:pPr>
            <w:r>
              <w:rPr>
                <w:rFonts w:ascii="Times New Roman" w:hAnsi="Times New Roman" w:cs="Times New Roman" w:eastAsia="Times New Roman"/>
                <w:b w:val="false"/>
                <w:sz w:val="26"/>
              </w:rPr>
              <w:t>Quy định chi tiết thi hành một số điều của Luật Đất đai</w:t>
            </w:r>
          </w:p>
        </w:tc>
        <w:tc>
          <w:p/>
          <w:p>
            <w:pPr>
              <w:spacing w:after="0" w:before="0" w:lineRule="auto" w:line="276"/>
              <w:jc w:val="left"/>
            </w:pPr>
            <w:r>
              <w:rPr>
                <w:rFonts w:ascii="Times New Roman" w:hAnsi="Times New Roman" w:cs="Times New Roman" w:eastAsia="Times New Roman"/>
                <w:b w:val="false"/>
                <w:sz w:val="26"/>
              </w:rPr>
              <w:t>15-05-2014</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luật đất đai năm 2013</w:t>
            </w:r>
          </w:p>
        </w:tc>
        <w:tc>
          <w:p/>
          <w:p>
            <w:pPr>
              <w:spacing w:after="0" w:before="0" w:lineRule="auto" w:line="276"/>
              <w:jc w:val="left"/>
            </w:pPr>
            <w:r>
              <w:rPr>
                <w:rFonts w:ascii="Times New Roman" w:hAnsi="Times New Roman" w:cs="Times New Roman" w:eastAsia="Times New Roman"/>
                <w:b w:val="false"/>
                <w:sz w:val="26"/>
              </w:rPr>
              <w:t>luật đất đai năm 2013</w:t>
            </w:r>
          </w:p>
        </w:tc>
        <w:tc>
          <w:p/>
          <w:p>
            <w:pPr>
              <w:spacing w:after="0" w:before="0" w:lineRule="auto" w:line="276"/>
              <w:jc w:val="left"/>
            </w:pPr>
            <w:r>
              <w:rPr>
                <w:rFonts w:ascii="Times New Roman" w:hAnsi="Times New Roman" w:cs="Times New Roman" w:eastAsia="Times New Roman"/>
                <w:b w:val="false"/>
                <w:sz w:val="26"/>
              </w:rPr>
              <w:t>01-07-2014</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01/2017/NĐ-CP</w:t>
            </w:r>
          </w:p>
        </w:tc>
        <w:tc>
          <w:p/>
          <w:p>
            <w:pPr>
              <w:spacing w:after="0" w:before="0" w:lineRule="auto" w:line="276"/>
              <w:jc w:val="left"/>
            </w:pPr>
            <w:r>
              <w:rPr>
                <w:rFonts w:ascii="Times New Roman" w:hAnsi="Times New Roman" w:cs="Times New Roman" w:eastAsia="Times New Roman"/>
                <w:b w:val="false"/>
                <w:sz w:val="26"/>
              </w:rPr>
              <w:t>Sửa đổi, bổ sung một số nghị định quy định chi tiết thi hành Luật đất đai</w:t>
            </w:r>
          </w:p>
        </w:tc>
        <w:tc>
          <w:p/>
          <w:p>
            <w:pPr>
              <w:spacing w:after="0" w:before="0" w:lineRule="auto" w:line="276"/>
              <w:jc w:val="left"/>
            </w:pPr>
            <w:r>
              <w:rPr>
                <w:rFonts w:ascii="Times New Roman" w:hAnsi="Times New Roman" w:cs="Times New Roman" w:eastAsia="Times New Roman"/>
                <w:b w:val="false"/>
                <w:sz w:val="26"/>
              </w:rPr>
              <w:t>06-01-2017</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 xml:space="preserve">24/2014/TT-BTNMT </w:t>
            </w:r>
          </w:p>
        </w:tc>
        <w:tc>
          <w:p/>
          <w:p>
            <w:pPr>
              <w:spacing w:after="0" w:before="0" w:lineRule="auto" w:line="276"/>
              <w:jc w:val="left"/>
            </w:pPr>
            <w:r>
              <w:rPr>
                <w:rFonts w:ascii="Times New Roman" w:hAnsi="Times New Roman" w:cs="Times New Roman" w:eastAsia="Times New Roman"/>
                <w:b w:val="false"/>
                <w:sz w:val="26"/>
              </w:rPr>
              <w:t>Quy định về hồ sơ địa chính</w:t>
            </w:r>
          </w:p>
        </w:tc>
        <w:tc>
          <w:p/>
          <w:p>
            <w:pPr>
              <w:spacing w:after="0" w:before="0" w:lineRule="auto" w:line="276"/>
              <w:jc w:val="left"/>
            </w:pPr>
            <w:r>
              <w:rPr>
                <w:rFonts w:ascii="Times New Roman" w:hAnsi="Times New Roman" w:cs="Times New Roman" w:eastAsia="Times New Roman"/>
                <w:b w:val="false"/>
                <w:sz w:val="26"/>
              </w:rPr>
              <w:t>19-05-2014</w:t>
            </w:r>
          </w:p>
        </w:tc>
        <w:tc>
          <w:p/>
          <w:p>
            <w:pPr>
              <w:spacing w:after="0" w:before="0" w:lineRule="auto" w:line="276"/>
              <w:jc w:val="left"/>
            </w:pPr>
            <w:r>
              <w:rPr>
                <w:rFonts w:ascii="Times New Roman" w:hAnsi="Times New Roman" w:cs="Times New Roman" w:eastAsia="Times New Roman"/>
                <w:b w:val="false"/>
                <w:sz w:val="26"/>
              </w:rPr>
              <w:t>Bộ Tài nguyên và Môi trường</w:t>
            </w:r>
          </w:p>
        </w:tc>
      </w:tr>
      <w:tr>
        <w:tc>
          <w:p/>
          <w:p>
            <w:pPr>
              <w:spacing w:after="0" w:before="0" w:lineRule="auto" w:line="276"/>
              <w:jc w:val="left"/>
            </w:pPr>
            <w:r>
              <w:rPr>
                <w:rFonts w:ascii="Times New Roman" w:hAnsi="Times New Roman" w:cs="Times New Roman" w:eastAsia="Times New Roman"/>
                <w:b w:val="false"/>
                <w:sz w:val="26"/>
              </w:rPr>
              <w:t xml:space="preserve">02/2015/TT-BTNMT </w:t>
            </w:r>
          </w:p>
        </w:tc>
        <w:tc>
          <w:p/>
          <w:p>
            <w:pPr>
              <w:spacing w:after="0" w:before="0" w:lineRule="auto" w:line="276"/>
              <w:jc w:val="left"/>
            </w:pPr>
            <w:r>
              <w:rPr>
                <w:rFonts w:ascii="Times New Roman" w:hAnsi="Times New Roman" w:cs="Times New Roman" w:eastAsia="Times New Roman"/>
                <w:b w:val="false"/>
                <w:sz w:val="26"/>
              </w:rPr>
              <w:t>Quy định chi tiết một số điều của Nghị định số 43/2014/NĐ-CP và Nghị định số 44/2014/NĐ-CPngày 15/5/2014 của Chính phủ</w:t>
            </w:r>
          </w:p>
        </w:tc>
        <w:tc>
          <w:p/>
          <w:p>
            <w:pPr>
              <w:spacing w:after="0" w:before="0" w:lineRule="auto" w:line="276"/>
              <w:jc w:val="left"/>
            </w:pPr>
            <w:r>
              <w:rPr>
                <w:rFonts w:ascii="Times New Roman" w:hAnsi="Times New Roman" w:cs="Times New Roman" w:eastAsia="Times New Roman"/>
                <w:b w:val="false"/>
                <w:sz w:val="26"/>
              </w:rPr>
              <w:t>27-01-2015</w:t>
            </w:r>
          </w:p>
        </w:tc>
        <w:tc>
          <w:p/>
          <w:p>
            <w:pPr>
              <w:spacing w:after="0" w:before="0" w:lineRule="auto" w:line="276"/>
              <w:jc w:val="left"/>
            </w:pPr>
            <w:r>
              <w:rPr>
                <w:rFonts w:ascii="Times New Roman" w:hAnsi="Times New Roman" w:cs="Times New Roman" w:eastAsia="Times New Roman"/>
                <w:b w:val="false"/>
                <w:sz w:val="26"/>
              </w:rPr>
              <w:t>Bộ Tài nguyên và Môi trường</w:t>
            </w:r>
          </w:p>
        </w:tc>
      </w:tr>
      <w:tr>
        <w:tc>
          <w:p/>
          <w:p>
            <w:pPr>
              <w:spacing w:after="0" w:before="0" w:lineRule="auto" w:line="276"/>
              <w:jc w:val="left"/>
            </w:pPr>
            <w:r>
              <w:rPr>
                <w:rFonts w:ascii="Times New Roman" w:hAnsi="Times New Roman" w:cs="Times New Roman" w:eastAsia="Times New Roman"/>
                <w:b w:val="false"/>
                <w:sz w:val="26"/>
              </w:rPr>
              <w:t xml:space="preserve">23/2014/TT-BTNMT </w:t>
            </w:r>
          </w:p>
        </w:tc>
        <w:tc>
          <w:p/>
          <w:p>
            <w:pPr>
              <w:spacing w:after="0" w:before="0" w:lineRule="auto" w:line="276"/>
              <w:jc w:val="left"/>
            </w:pPr>
            <w:r>
              <w:rPr>
                <w:rFonts w:ascii="Times New Roman" w:hAnsi="Times New Roman" w:cs="Times New Roman" w:eastAsia="Times New Roman"/>
                <w:b w:val="false"/>
                <w:sz w:val="26"/>
              </w:rPr>
              <w:t>Quy định về Giấy chứng nhận quyền sử dụng đất, quyền sở hữu nhà ở và tài sản khác gắn liền với đất</w:t>
            </w:r>
          </w:p>
        </w:tc>
        <w:tc>
          <w:p/>
          <w:p>
            <w:pPr>
              <w:spacing w:after="0" w:before="0" w:lineRule="auto" w:line="276"/>
              <w:jc w:val="left"/>
            </w:pPr>
            <w:r>
              <w:rPr>
                <w:rFonts w:ascii="Times New Roman" w:hAnsi="Times New Roman" w:cs="Times New Roman" w:eastAsia="Times New Roman"/>
                <w:b w:val="false"/>
                <w:sz w:val="26"/>
              </w:rPr>
              <w:t>19-05-2014</w:t>
            </w:r>
          </w:p>
        </w:tc>
        <w:tc>
          <w:p/>
          <w:p>
            <w:pPr>
              <w:spacing w:after="0" w:before="0" w:lineRule="auto" w:line="276"/>
              <w:jc w:val="left"/>
            </w:pPr>
            <w:r>
              <w:rPr>
                <w:rFonts w:ascii="Times New Roman" w:hAnsi="Times New Roman" w:cs="Times New Roman" w:eastAsia="Times New Roman"/>
                <w:b w:val="false"/>
                <w:sz w:val="26"/>
              </w:rPr>
              <w:t>Bộ Tài nguyên và Môi trường</w:t>
            </w:r>
          </w:p>
        </w:tc>
      </w:tr>
      <w:tr>
        <w:tc>
          <w:p/>
          <w:p>
            <w:pPr>
              <w:spacing w:after="0" w:before="0" w:lineRule="auto" w:line="276"/>
              <w:jc w:val="left"/>
            </w:pPr>
            <w:r>
              <w:rPr>
                <w:rFonts w:ascii="Times New Roman" w:hAnsi="Times New Roman" w:cs="Times New Roman" w:eastAsia="Times New Roman"/>
                <w:b w:val="false"/>
                <w:sz w:val="26"/>
              </w:rPr>
              <w:t xml:space="preserve">88/2016/TTLT-BTC-BTNMT </w:t>
            </w:r>
          </w:p>
        </w:tc>
        <w:tc>
          <w:p/>
          <w:p>
            <w:pPr>
              <w:spacing w:after="0" w:before="0" w:lineRule="auto" w:line="276"/>
              <w:jc w:val="left"/>
            </w:pPr>
            <w:r>
              <w:rPr>
                <w:rFonts w:ascii="Times New Roman" w:hAnsi="Times New Roman" w:cs="Times New Roman" w:eastAsia="Times New Roman"/>
                <w:b w:val="false"/>
                <w:sz w:val="26"/>
              </w:rPr>
              <w:t>quy định về hồ sơ và trình tự, thủ tục tiếp nhận, luân chuyển hồ sơ xác định nghĩa vụ tài chính về đất đai của người sử dụng đất</w:t>
            </w:r>
          </w:p>
        </w:tc>
        <w:tc>
          <w:p/>
          <w:p>
            <w:pPr>
              <w:spacing w:after="0" w:before="0" w:lineRule="auto" w:line="276"/>
              <w:jc w:val="left"/>
            </w:pPr>
            <w:r>
              <w:rPr>
                <w:rFonts w:ascii="Times New Roman" w:hAnsi="Times New Roman" w:cs="Times New Roman" w:eastAsia="Times New Roman"/>
                <w:b w:val="false"/>
                <w:sz w:val="26"/>
              </w:rPr>
              <w:t>22-06-2016</w:t>
            </w:r>
          </w:p>
        </w:tc>
        <w:tc>
          <w:p/>
          <w:p>
            <w:pPr>
              <w:spacing w:after="0" w:before="0" w:lineRule="auto" w:line="276"/>
              <w:jc w:val="left"/>
            </w:pPr>
            <w:r>
              <w:rPr>
                <w:rFonts w:ascii="Times New Roman" w:hAnsi="Times New Roman" w:cs="Times New Roman" w:eastAsia="Times New Roman"/>
                <w:b w:val="false"/>
                <w:sz w:val="26"/>
              </w:rPr>
              <w:t>Bộ Tài chính</w:t>
            </w:r>
          </w:p>
        </w:tc>
      </w:tr>
      <w:tr>
        <w:tc>
          <w:p/>
          <w:p>
            <w:pPr>
              <w:spacing w:after="0" w:before="0" w:lineRule="auto" w:line="276"/>
              <w:jc w:val="left"/>
            </w:pPr>
            <w:r>
              <w:rPr>
                <w:rFonts w:ascii="Times New Roman" w:hAnsi="Times New Roman" w:cs="Times New Roman" w:eastAsia="Times New Roman"/>
                <w:b w:val="false"/>
                <w:sz w:val="26"/>
              </w:rPr>
              <w:t>33/2017/TT-BTNMT</w:t>
            </w:r>
          </w:p>
        </w:tc>
        <w:tc>
          <w:p/>
          <w:p>
            <w:pPr>
              <w:spacing w:after="0" w:before="0" w:lineRule="auto" w:line="276"/>
              <w:jc w:val="left"/>
            </w:pPr>
            <w:r>
              <w:rPr>
                <w:rFonts w:ascii="Times New Roman" w:hAnsi="Times New Roman" w:cs="Times New Roman" w:eastAsia="Times New Roman"/>
                <w:b w:val="false"/>
                <w:sz w:val="26"/>
              </w:rPr>
              <w:t>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tc>
        <w:tc>
          <w:p/>
          <w:p>
            <w:pPr>
              <w:spacing w:after="0" w:before="0" w:lineRule="auto" w:line="276"/>
              <w:jc w:val="left"/>
            </w:pPr>
            <w:r>
              <w:rPr>
                <w:rFonts w:ascii="Times New Roman" w:hAnsi="Times New Roman" w:cs="Times New Roman" w:eastAsia="Times New Roman"/>
                <w:b w:val="false"/>
                <w:sz w:val="26"/>
              </w:rPr>
              <w:t>29-09-2017</w:t>
            </w:r>
          </w:p>
        </w:tc>
        <w:tc>
          <w:p/>
          <w:p>
            <w:pPr>
              <w:spacing w:after="0" w:before="0" w:lineRule="auto" w:line="276"/>
              <w:jc w:val="left"/>
            </w:pPr>
            <w:r>
              <w:rPr>
                <w:rFonts w:ascii="Times New Roman" w:hAnsi="Times New Roman" w:cs="Times New Roman" w:eastAsia="Times New Roman"/>
                <w:b w:val="false"/>
                <w:sz w:val="26"/>
              </w:rPr>
              <w:t>Bộ Tài nguyên và Môi trường</w:t>
            </w:r>
          </w:p>
        </w:tc>
      </w:tr>
      <w:tr>
        <w:tc>
          <w:p/>
          <w:p>
            <w:pPr>
              <w:spacing w:after="0" w:before="0" w:lineRule="auto" w:line="276"/>
              <w:jc w:val="left"/>
            </w:pPr>
            <w:r>
              <w:rPr>
                <w:rFonts w:ascii="Times New Roman" w:hAnsi="Times New Roman" w:cs="Times New Roman" w:eastAsia="Times New Roman"/>
                <w:b w:val="false"/>
                <w:sz w:val="26"/>
              </w:rPr>
              <w:t>20/2020/QĐ-UBND</w:t>
            </w:r>
          </w:p>
        </w:tc>
        <w:tc>
          <w:p/>
          <w:p>
            <w:pPr>
              <w:spacing w:after="0" w:before="0" w:lineRule="auto" w:line="276"/>
              <w:jc w:val="left"/>
            </w:pPr>
            <w:r>
              <w:rPr>
                <w:rFonts w:ascii="Times New Roman" w:hAnsi="Times New Roman" w:cs="Times New Roman" w:eastAsia="Times New Roman"/>
                <w:b w:val="false"/>
                <w:sz w:val="26"/>
              </w:rPr>
              <w:t>Quyết định số 20/2020/QĐ-UBND ngày 08/5/2020 của UBND tỉnh Ban hành Đơn giá dịch vụ công trong lĩnh vực đất đai áp dụng tại Văn phòng Đăng ký đất đai thực hiện trên địa bàn tỉnh Thanh Hóa</w:t>
            </w:r>
          </w:p>
        </w:tc>
        <w:tc>
          <w:p/>
          <w:p>
            <w:pPr>
              <w:spacing w:after="0" w:before="0" w:lineRule="auto" w:line="276"/>
              <w:jc w:val="left"/>
            </w:pPr>
            <w:r>
              <w:rPr>
                <w:rFonts w:ascii="Times New Roman" w:hAnsi="Times New Roman" w:cs="Times New Roman" w:eastAsia="Times New Roman"/>
                <w:b w:val="false"/>
                <w:sz w:val="26"/>
              </w:rPr>
              <w:t>08-05-2020</w:t>
            </w:r>
          </w:p>
        </w:tc>
        <w:tc>
          <w:p/>
          <w:p>
            <w:pPr>
              <w:spacing w:after="0" w:before="0" w:lineRule="auto" w:line="276"/>
              <w:jc w:val="left"/>
            </w:pPr>
            <w:r>
              <w:rPr>
                <w:rFonts w:ascii="Times New Roman" w:hAnsi="Times New Roman" w:cs="Times New Roman" w:eastAsia="Times New Roman"/>
                <w:b w:val="false"/>
                <w:sz w:val="26"/>
              </w:rPr>
              <w:t>Ủy ban nhân dân cấp Tỉnh</w:t>
            </w:r>
          </w:p>
        </w:tc>
      </w:tr>
      <w:tr>
        <w:tc>
          <w:p/>
          <w:p>
            <w:pPr>
              <w:spacing w:after="0" w:before="0" w:lineRule="auto" w:line="276"/>
              <w:jc w:val="left"/>
            </w:pPr>
            <w:r>
              <w:rPr>
                <w:rFonts w:ascii="Times New Roman" w:hAnsi="Times New Roman" w:cs="Times New Roman" w:eastAsia="Times New Roman"/>
                <w:b w:val="false"/>
                <w:sz w:val="26"/>
              </w:rPr>
              <w:t>148/2020/NĐ-CP</w:t>
            </w:r>
          </w:p>
        </w:tc>
        <w:tc>
          <w:p/>
          <w:p>
            <w:pPr>
              <w:spacing w:after="0" w:before="0" w:lineRule="auto" w:line="276"/>
              <w:jc w:val="left"/>
            </w:pPr>
            <w:r>
              <w:rPr>
                <w:rFonts w:ascii="Times New Roman" w:hAnsi="Times New Roman" w:cs="Times New Roman" w:eastAsia="Times New Roman"/>
                <w:b w:val="false"/>
                <w:sz w:val="26"/>
              </w:rPr>
              <w:t>Nghị định 148/2020/NĐ-CP</w:t>
            </w:r>
          </w:p>
        </w:tc>
        <w:tc>
          <w:p/>
          <w:p>
            <w:pPr>
              <w:spacing w:after="0" w:before="0" w:lineRule="auto" w:line="276"/>
              <w:jc w:val="left"/>
            </w:pPr>
            <w:r>
              <w:rPr>
                <w:rFonts w:ascii="Times New Roman" w:hAnsi="Times New Roman" w:cs="Times New Roman" w:eastAsia="Times New Roman"/>
                <w:b w:val="false"/>
                <w:sz w:val="26"/>
              </w:rPr>
              <w:t>18-12-2020</w:t>
            </w:r>
          </w:p>
        </w:tc>
        <w:tc>
          <w:p/>
        </w:tc>
      </w:tr>
      <w:tr>
        <w:tc>
          <w:p/>
          <w:p>
            <w:pPr>
              <w:spacing w:after="0" w:before="0" w:lineRule="auto" w:line="276"/>
              <w:jc w:val="left"/>
            </w:pPr>
            <w:r>
              <w:rPr>
                <w:rFonts w:ascii="Times New Roman" w:hAnsi="Times New Roman" w:cs="Times New Roman" w:eastAsia="Times New Roman"/>
                <w:b w:val="false"/>
                <w:sz w:val="26"/>
              </w:rPr>
              <w:t>09/2021/TT-BTNMT</w:t>
            </w:r>
          </w:p>
        </w:tc>
        <w:tc>
          <w:p/>
          <w:p>
            <w:pPr>
              <w:spacing w:after="0" w:before="0" w:lineRule="auto" w:line="276"/>
              <w:jc w:val="left"/>
            </w:pPr>
            <w:r>
              <w:rPr>
                <w:rFonts w:ascii="Times New Roman" w:hAnsi="Times New Roman" w:cs="Times New Roman" w:eastAsia="Times New Roman"/>
                <w:b w:val="false"/>
                <w:sz w:val="26"/>
              </w:rPr>
              <w:t>Thông tư số 09/2021/TT-BTNMT ngày 30 tháng 6 năm 2021 của Bộ trưởng Bộ Tài nguyên và Môi trường sửa đổi, bổ sung một số điều của các thông tư quy định chi tiết và hướng dẫn thi hành Luật Đất đai</w:t>
            </w:r>
          </w:p>
        </w:tc>
        <w:tc>
          <w:p/>
          <w:p>
            <w:pPr>
              <w:spacing w:after="0" w:before="0" w:lineRule="auto" w:line="276"/>
              <w:jc w:val="left"/>
            </w:pPr>
            <w:r>
              <w:rPr>
                <w:rFonts w:ascii="Times New Roman" w:hAnsi="Times New Roman" w:cs="Times New Roman" w:eastAsia="Times New Roman"/>
                <w:b w:val="false"/>
                <w:sz w:val="26"/>
              </w:rPr>
              <w:t>30-06-2021</w:t>
            </w:r>
          </w:p>
        </w:tc>
        <w:tc>
          <w:p/>
        </w:tc>
      </w:tr>
      <w:tr>
        <w:tc>
          <w:p/>
          <w:p>
            <w:pPr>
              <w:spacing w:after="0" w:before="0" w:lineRule="auto" w:line="276"/>
              <w:jc w:val="left"/>
            </w:pPr>
            <w:r>
              <w:rPr>
                <w:rFonts w:ascii="Times New Roman" w:hAnsi="Times New Roman" w:cs="Times New Roman" w:eastAsia="Times New Roman"/>
                <w:b w:val="false"/>
                <w:sz w:val="26"/>
              </w:rPr>
              <w:t>80/2021/TT-BTC</w:t>
            </w:r>
          </w:p>
        </w:tc>
        <w:tc>
          <w:p/>
          <w:p>
            <w:pPr>
              <w:spacing w:after="0" w:before="0" w:lineRule="auto" w:line="276"/>
              <w:jc w:val="left"/>
            </w:pPr>
            <w:r>
              <w:rPr>
                <w:rFonts w:ascii="Times New Roman" w:hAnsi="Times New Roman" w:cs="Times New Roman" w:eastAsia="Times New Roman"/>
                <w:b w:val="false"/>
                <w:sz w:val="26"/>
              </w:rPr>
              <w:t>Thông tư số 80/2021/TT-BTC ngày 29 tháng 9 năm 2021 của Bộ Tài chính hướng dẫn thi hành một số điều của Luật Quản lý thuế; Luật sửa đổi, bổ sung một số điều của Luật Quản lý thuế và Nghị định số 83/2013/NĐ-CP ngày 22/7/2013 của Chính phủ</w:t>
            </w:r>
          </w:p>
        </w:tc>
        <w:tc>
          <w:p/>
          <w:p>
            <w:pPr>
              <w:spacing w:after="0" w:before="0" w:lineRule="auto" w:line="276"/>
              <w:jc w:val="left"/>
            </w:pPr>
            <w:r>
              <w:rPr>
                <w:rFonts w:ascii="Times New Roman" w:hAnsi="Times New Roman" w:cs="Times New Roman" w:eastAsia="Times New Roman"/>
                <w:b w:val="false"/>
                <w:sz w:val="26"/>
              </w:rPr>
              <w:t>29-09-2021</w:t>
            </w:r>
          </w:p>
        </w:tc>
        <w:tc>
          <w:p/>
        </w:tc>
      </w:tr>
      <w:tr>
        <w:tc>
          <w:p/>
          <w:p>
            <w:pPr>
              <w:spacing w:after="0" w:before="0" w:lineRule="auto" w:line="276"/>
              <w:jc w:val="left"/>
            </w:pPr>
            <w:r>
              <w:rPr>
                <w:rFonts w:ascii="Times New Roman" w:hAnsi="Times New Roman" w:cs="Times New Roman" w:eastAsia="Times New Roman"/>
                <w:b w:val="false"/>
                <w:sz w:val="26"/>
              </w:rPr>
              <w:t>289/2022/NQ-HĐND</w:t>
            </w:r>
          </w:p>
        </w:tc>
        <w:tc>
          <w:p/>
          <w:p>
            <w:pPr>
              <w:spacing w:after="0" w:before="0" w:lineRule="auto" w:line="276"/>
              <w:jc w:val="left"/>
            </w:pPr>
            <w:r>
              <w:rPr>
                <w:rFonts w:ascii="Times New Roman" w:hAnsi="Times New Roman" w:cs="Times New Roman" w:eastAsia="Times New Roman"/>
                <w:b w:val="false"/>
                <w:sz w:val="26"/>
              </w:rPr>
              <w:t>Nghị quyết ban hành mức thu, miễn, giảm, thu, nộp quản lý và sử dụng các khoản phí, lệ phí thuộc Hội đồng nhân dân tỉnh</w:t>
            </w:r>
          </w:p>
        </w:tc>
        <w:tc>
          <w:p/>
          <w:p>
            <w:pPr>
              <w:spacing w:after="0" w:before="0" w:lineRule="auto" w:line="276"/>
              <w:jc w:val="left"/>
            </w:pPr>
            <w:r>
              <w:rPr>
                <w:rFonts w:ascii="Times New Roman" w:hAnsi="Times New Roman" w:cs="Times New Roman" w:eastAsia="Times New Roman"/>
                <w:b w:val="false"/>
                <w:sz w:val="26"/>
              </w:rPr>
              <w:t>13-07-2022</w:t>
            </w:r>
          </w:p>
        </w:tc>
        <w:tc>
          <w:p/>
          <w:p>
            <w:pPr>
              <w:spacing w:after="0" w:before="0" w:lineRule="auto" w:line="276"/>
              <w:jc w:val="left"/>
            </w:pPr>
            <w:r>
              <w:rPr>
                <w:rFonts w:ascii="Times New Roman" w:hAnsi="Times New Roman" w:cs="Times New Roman" w:eastAsia="Times New Roman"/>
                <w:b w:val="false"/>
                <w:sz w:val="26"/>
              </w:rPr>
              <w:t>Hội đồng nhân dân tỉnh</w:t>
            </w:r>
          </w:p>
        </w:tc>
      </w:tr>
      <w:tr>
        <w:tc>
          <w:p/>
          <w:p>
            <w:pPr>
              <w:spacing w:after="0" w:before="0" w:lineRule="auto" w:line="276"/>
              <w:jc w:val="left"/>
            </w:pPr>
            <w:r>
              <w:rPr>
                <w:rFonts w:ascii="Times New Roman" w:hAnsi="Times New Roman" w:cs="Times New Roman" w:eastAsia="Times New Roman"/>
                <w:b w:val="false"/>
                <w:sz w:val="26"/>
              </w:rPr>
              <w:t>104/2022/NĐ-CP</w:t>
            </w:r>
          </w:p>
        </w:tc>
        <w:tc>
          <w:p/>
          <w:p>
            <w:pPr>
              <w:spacing w:after="0" w:before="0" w:lineRule="auto" w:line="276"/>
              <w:jc w:val="left"/>
            </w:pPr>
            <w:r>
              <w:rPr>
                <w:rFonts w:ascii="Times New Roman" w:hAnsi="Times New Roman" w:cs="Times New Roman" w:eastAsia="Times New Roman"/>
                <w:b w:val="false"/>
                <w:sz w:val="26"/>
              </w:rPr>
              <w:t>Nghị định sửa đổi, bổ sung một số điều của các nghị định liên quan đến việc nộp, xuất trình sổ hộ khẩu, sổ tạm trú giấy khi thực hiện thủ tục hành chính, cung cấp dịch vụ công</w:t>
            </w:r>
          </w:p>
        </w:tc>
        <w:tc>
          <w:p/>
          <w:p>
            <w:pPr>
              <w:spacing w:after="0" w:before="0" w:lineRule="auto" w:line="276"/>
              <w:jc w:val="left"/>
            </w:pPr>
            <w:r>
              <w:rPr>
                <w:rFonts w:ascii="Times New Roman" w:hAnsi="Times New Roman" w:cs="Times New Roman" w:eastAsia="Times New Roman"/>
                <w:b w:val="false"/>
                <w:sz w:val="26"/>
              </w:rPr>
              <w:t>21-12-2022</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10/2023/NĐ-CP</w:t>
            </w:r>
          </w:p>
        </w:tc>
        <w:tc>
          <w:p/>
          <w:p>
            <w:pPr>
              <w:spacing w:after="0" w:before="0" w:lineRule="auto" w:line="276"/>
              <w:jc w:val="left"/>
            </w:pPr>
            <w:r>
              <w:rPr>
                <w:rFonts w:ascii="Times New Roman" w:hAnsi="Times New Roman" w:cs="Times New Roman" w:eastAsia="Times New Roman"/>
                <w:b w:val="false"/>
                <w:sz w:val="26"/>
              </w:rPr>
              <w:t>Nghị định</w:t>
            </w:r>
          </w:p>
        </w:tc>
        <w:tc>
          <w:p/>
          <w:p>
            <w:pPr>
              <w:spacing w:after="0" w:before="0" w:lineRule="auto" w:line="276"/>
              <w:jc w:val="left"/>
            </w:pPr>
            <w:r>
              <w:rPr>
                <w:rFonts w:ascii="Times New Roman" w:hAnsi="Times New Roman" w:cs="Times New Roman" w:eastAsia="Times New Roman"/>
                <w:b w:val="false"/>
                <w:sz w:val="26"/>
              </w:rPr>
              <w:t>03-04-2023</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14/2023/TT-BTNMT</w:t>
            </w:r>
          </w:p>
        </w:tc>
        <w:tc>
          <w:p/>
          <w:p>
            <w:pPr>
              <w:spacing w:after="0" w:before="0" w:lineRule="auto" w:line="276"/>
              <w:jc w:val="left"/>
            </w:pPr>
            <w:r>
              <w:rPr>
                <w:rFonts w:ascii="Times New Roman" w:hAnsi="Times New Roman" w:cs="Times New Roman" w:eastAsia="Times New Roman"/>
                <w:b w:val="false"/>
                <w:sz w:val="26"/>
              </w:rPr>
              <w:t>THÔNG TƯ  SỬA ĐỔI, BỔ SUNG MỘT SỐ ĐIỀU CỦA CÁC THÔNG TƯ LIÊN QUAN ĐẾN VIỆC NỘP, XUẤT TRÌNH SỔ HỘ KHẨU VÀ GIẤY TỜ LIÊN QUAN CƯ TRÚ KHI THỰC HIỆN THỦ TỤC HÀNH CHÍNH, CUNG CẤP DỊCH VỤ CÔNG TRONG LĨNH VỰC ĐẤT ĐAI</w:t>
            </w:r>
          </w:p>
        </w:tc>
        <w:tc>
          <w:p/>
          <w:p>
            <w:pPr>
              <w:spacing w:after="0" w:before="0" w:lineRule="auto" w:line="276"/>
              <w:jc w:val="left"/>
            </w:pPr>
            <w:r>
              <w:rPr>
                <w:rFonts w:ascii="Times New Roman" w:hAnsi="Times New Roman" w:cs="Times New Roman" w:eastAsia="Times New Roman"/>
                <w:b w:val="false"/>
                <w:sz w:val="26"/>
              </w:rPr>
              <w:t>16-10-2023</w:t>
            </w:r>
          </w:p>
        </w:tc>
        <w:tc>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2024-03-29T06:04:21Z</dcterms:created>
  <dc:creator>Apache POI</dc:creator>
</cp:coreProperties>
</file>