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1.008177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và cấp Giấy chứng nhận quyền sử dụng đất, quyền sở hữu nhà ở và tài sản khác gắn liền với đất lần đầu (Chi nhánh)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Thời gian tiếp nhận và trả kết quả: Trong giờ hành chính các ngày từ thứ 2 đến thứ 6 hàng tuần (trừ các ngày nghỉ Lễ, Tết theo quy định).
(2) Địa điểm tiếp nhận và trả kết quả: 
Chi nhánh Văn phòng Đăng ký đất đai tại Bộ phận tiếp nhận và trả kết quả thuộc Văn phòng HĐND và UBND cấp huyện. 
Hộ gia đình, cá nhân, cộng đồng dân cư, người Việt Nam định cư ở nước ngoài được sở hữu nhà ở gắn liền với quyền sử dụng đất ở tại Việt Nam (viết tắt là Hộ gia đình, cá nhân) nộp hồ sơ tại Ủy ban nhân cấp xã nơi có đất nếu có nhu cầu. Ủy ban nhân dân cấp xã có trách nhiệm tiếp nhận hồ sơ và trả kết qua theo quy định. Trong thời hạn 05 ngày làm việc kể từ ngày nhận đủ hồ sơ, Ủy ban nhân dân cấp xã phải chuyển hồ sơ đến Bộ phận tiếp nhận và trả kết quả Chi nhánh Văn phòng Đăng ký đất đai.
(3) Người sử dụng đất chuẩn bị đầy đủ hồ sơ theo quy định.
Trường hợp nhận hồ sơ chưa đầy đủ, chưa hợp lệ thì trong thời gian tối đa 03 ngày làm việc, cơ quan tiếp nhận, xử lý hồ sơ phải thông báo và hướng dẫn người nộp hồ sơ bổ sung, hoàn chỉnh hồ sơ theo quy định. 
(4) Cơ quan tiếp nhận hồ sơ nhập đầy đủ thông tin vào Hệ thống thông tin giải quyết TTHC, in Phiếu tiếp nhận hồ sơ và trả kết quả cho người nộp hồ sơ.
- Trường hợp hộ gia đình, cá nhân, cộng đồng dân cư nộp hồ sơ tại Ủy ban nhân dân cấp xã thì trong thời hạn 05 ngày làm việc kể từ ngày nhận đủ hồ sơ (không bao gồm thời gian niêm yết công khai kết quả kiểm tra hồ sơ), Ủy ban nhân dân cấp xã thực hiện:
+ Thông báo cho Chi nhánh văn phòng đăng ký đất đai thực hiện trích đo địa chính thửa đất hoặc kiểm tra bản trích đo địa chính thửa đất do người sử dụng đất nộp (nếu có) đối với nơi chưa có bản đồ địa chính.
+ Kiểm tra hồ sơ;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Chi nhánh văn phòng đăng ký đất đai.
- Trường hợp nộp hồ sơ tại Chi nhánh Văn phòng Đăng ký đất đai tại Bộ phận tiếp nhận và trả kết quả thuộc Văn phòng HĐND và UBND cấp huyện thì Chi nhánh văn phòng đăng ký đất đai thực hiện các công việc như sau:
+ Gửi hồ sơ đến Ủy ban nhân dân cấp xã để lấy ý kiến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xác nhận hộ gia đình, cá nhân trực tiếp sản xuất nông nghiệp; niêm yết công khai kết quả kiểm tra hồ sơ, xác nhận hiện trạng, tình trạng tranh chấp, nguồn gốc và thời điểm sử dụng đất; xem xét giải quyết các ý kiến phản ánh về nội dung công khai và gửi hồ sơ đến Chi nhánh Văn phòng đăng ký đất đai đối với trường hợp hộ gia đình, cá nhân, cộng đồng dân cư nộp hồ sơ tại Văn phòng đăng ký đất đai hoặc Chi nhánh Văn phòng đăng ký đất đai
+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
+ Kiểm tra, xác nhận sơ đồ tài sản gắn liền với đất đối với hộ gia đình, cá nhân, người Việt Nam định cư ở nước ngoài thực hiện dự án đầu tư mà sơ đồ đó chưa có xác nhận của tổ chức có tư cách pháp nhân về hoạt động xây dựng hoặc hoạt động đo đạc bản đồ.
+ Kiểm tra hồ sơ đăng ký; xác minh thực địa trong trường hợp cần thiết; xác nhận đủ điều kiện hay không đủ điều kiện được cấp Giấy chứng nhận vào đơn đăng ký.
+ Gửi phiếu lấy ý kiến cơ quan quản lý nhà nước đối với loại tài sản đăng ký đối với trường hợp chủ sở hữu tài sản gắn liền với đất không có giấy tờ hoặc hiện trạng tài sản có thay đổi so với giấy tờ theo quy định. 
(5) Trong thời hạn 05 ngày làm việc, kể từ ngày nhận được phiếu xin ý kiến, Cơ quan quản lý nhà nước về xây dựng đối với tài sản gắn liền với đất có trách nhiệm trả lời bằng văn bản cho Chi nhánh văn phòng đăng ký đất đai.
(6) Kể từ ngày nhận được Văn bản của Cơ quan quản lý nhà nước về xây dựng, Chi nhánh văn phòng đăng ký đất đaithực hiện các công việc như sau:
- Cập nhật thông tin thửa đất, tài sản gắn liền với đất, đăng ký vào hồ sơ địa chính, cơ sở dữ liệu đất đai (nếu có);
-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môi trường trình ký cấp Giấy chứng nhận 
(7) Trong thời hạn 05 ngày làm việc, kể từ ngày nhận đủ hồ sơ hợp lệ do Chi nhánh văn phòng đăng ký đất đai chuyển đến, Cơ quan thuế xác định và thông báo thu nghĩa vụ tài chính đối với trường hợp phải thực hiện nghĩa vụ tài chính theo quy định.
(8) Trường hợp người sử dụng đất đã nộp chứng từ hoàn thành nghĩa vụ tài chính, Chi nhánh văn phòng đăng ký đất đai chuẩn bị và chuyển hồ sơ đến Cơ quan tài nguyên và môi trường để thực hiện các công việc sau:
- Kiểm tra hồ sơ và trình cơ quan có thẩm quyền cấp Giấy chứng nhận.
Trường hợp thuê đất thì trình Ủy ban nhân dân cấp có thẩm quyền ký quyết định cho thuê đất; ký hợp đồng thuê đất và trình cơ quan có thẩm quyền cấp Giấy chứng nhận quyền sử dụng đất, quyền sở hữu nhà ở và tài sản khác gắn liền với đất sau khi người sử dụng đất đã hoàn thành nghĩa vụ tài chính theo quy định của pháp luật.
 - Chuyển hồ sơ đã giải quyết cho Chi nhánh Văn phòng đăng ký đất đai. 
(9) Kể từ ngày Ủy ban nhân dân ký giấy chứng nhận quyền sử dụng đất, Chi nhánh văn phòng đăng ký đất đai có trách nhiệm:
+ Cập nhật bổ sung việc cấp Giấy chứng nhận vào hồ sơ địa chính, cơ sở dữ liệu đất đai (nếu có); 
  + Trao Giấy chứng nhận cho người được cấp đã nộp chứng từ hoàn thành nghĩa vụ tài chính (hoặc đã ký hợp đồng thuê đất hoặc được miễn nghĩa vụ tài chính liên quan đến thủ tục hành chính) hoặc gửi Giấy chứng nhận cho Ủy ban nhân dân cấp xã để trao cho người được cấp đối với trường hợp hộ gia đình, cá nhân nộp hồ sơ tại cấp xã. 
+ Xác nhận vào bản chính giấy tờ việc đã cấp Giấy chứng nhận theo quy định.
(10) Người được cấp Giấy chứng nhận nhận lại bản chính giấy tờ đã được xác nhận cấp Giấy chứng nhận và Giấy chứng nhận.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10.docx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10.docx</w:t>
            </w:r>
          </w:p>
        </w:tc>
        <w:tc>
          <w:p/>
          <w:p>
            <w:pPr>
              <w:spacing w:after="0" w:before="0" w:lineRule="auto" w:line="276"/>
              <w:jc w:val="left"/>
            </w:pPr>
            <w:r>
              <w:rPr>
                <w:rFonts w:ascii="Times New Roman" w:hAnsi="Times New Roman" w:cs="Times New Roman" w:eastAsia="Times New Roman"/>
                <w:b w:val="false"/>
                <w:sz w:val="26"/>
              </w:rPr>
              <w:t>Thời gian thực hiện các bước trên không bao gồm thời gian niêm yết công khai 15 ngày tại trụ sở UBND cấp xã và khu dân cư.
Thời gian này không tính thời gian các ngày nghỉ, ngày lễ theo quy định của pháp luật; không tính thời gian tiếp nhận, thời gian Ủy ban nhân dân cấp xã thực hiện các công việc theo quy định;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(Có biểu đính kèm)</w:t>
              <w:br/>
              <w:t>File đính kèm: Biểu phí, lệ phí 10.docx</w:t>
            </w:r>
          </w:p>
          <w:p>
            <w:pPr>
              <w:spacing w:after="0" w:before="0" w:lineRule="auto" w:line="276"/>
              <w:jc w:val="left"/>
            </w:pPr>
            <w:r>
              <w:rPr>
                <w:rFonts w:ascii="Times New Roman" w:hAnsi="Times New Roman" w:cs="Times New Roman" w:eastAsia="Times New Roman"/>
                <w:b w:val="false"/>
                <w:sz w:val="26"/>
              </w:rPr>
              <w:t xml:space="preserve">Lệ phí :  </w:t>
              <w:t xml:space="preserve"> (Có biểu đính kèm)</w:t>
              <w:br/>
              <w:t>File đính kèm: Biểu phí, lệ phí 10.docx</w:t>
            </w:r>
          </w:p>
        </w:tc>
        <w:tc>
          <w:p/>
          <w:p>
            <w:pPr>
              <w:spacing w:after="0" w:before="0" w:lineRule="auto" w:line="276"/>
              <w:jc w:val="left"/>
            </w:pPr>
            <w:r>
              <w:rPr>
                <w:rFonts w:ascii="Times New Roman" w:hAnsi="Times New Roman" w:cs="Times New Roman" w:eastAsia="Times New Roman"/>
                <w:b w:val="false"/>
                <w:sz w:val="26"/>
              </w:rPr>
              <w:t>Thời gian thực hiện các bước trên không bao gồm thời gian niêm yết công khai 15 ngày tại trụ sở UBND cấp xã và khu dân cư.
Thời gian này không tính thời gian các ngày nghỉ, ngày lễ theo quy định của pháp luật; không tính thời gian tiếp nhận, thời gian Ủy ban nhân dân cấp xã thực hiện các công việc theo quy định;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3.1 Hồ sơ đại chính:a4) Hồ sơ nộp khi cấp Giấy chứng nhận đối với trường hợp diện tích đất tăng thêm do nhận chuyển nhượng, thừa kế, tặng cho quyền sử dụng đất mà diện tích đất tăng thêm không có giấy tờ về quyền sử dụng đất theo quy định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p/>
          <w:p>
            <w:pPr>
              <w:spacing w:after="0" w:before="0" w:lineRule="auto" w:line="276"/>
              <w:jc w:val="left"/>
            </w:pPr>
            <w:r>
              <w:rPr>
                <w:rFonts w:ascii="Times New Roman" w:hAnsi="Times New Roman" w:cs="Times New Roman" w:eastAsia="Times New Roman"/>
                <w:b w:val="false"/>
                <w:sz w:val="26"/>
              </w:rPr>
              <w:t>Mẫu 4aĐK.docx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gốc Giấy chứng nhận của thửa đất gốc hoặc các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Chứng từ thực hiện nghĩa vụ tài chính; giấy tờ liên quan đến việc miễn, giảm nghĩa vụ tài chính về đất đai,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(5)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3.1 Hồ sơ đất đai: a3) Hồ sơ nộp khi cấp Giấy chứng nhận đối với trường hợp diện tích đất tăng thêm do nhận chuyển nhượng, thừa kế, tặng cho quyền sử dụng đất trước ngày 01 tháng 7 năm 2014 mà diện tích đất tăng thêm có giấy tờ về quyền sử dụng đất theo quy định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p/>
          <w:p>
            <w:pPr>
              <w:spacing w:after="0" w:before="0" w:lineRule="auto" w:line="276"/>
              <w:jc w:val="left"/>
            </w:pPr>
            <w:r>
              <w:rPr>
                <w:rFonts w:ascii="Times New Roman" w:hAnsi="Times New Roman" w:cs="Times New Roman" w:eastAsia="Times New Roman"/>
                <w:b w:val="false"/>
                <w:sz w:val="26"/>
              </w:rPr>
              <w:t>Mẫu 4aĐK.docx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gốc Giấy chứng nhận của thửa đất gốc hoặc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Một trong các loại giấy tờ quy định tại Điều 100 của Luật đất đai, Điều 18 của Nghị định số 43/2014/NĐ-CP và Khoản 16 Điều 2 của Nghị định số 01/2017/NĐCP của diện tích đất tăng thêm;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(5) Chứng từ thực hiện nghĩa vụ tài chính, giấy tờ liên quan đến việc miễn, giảm nghĩa vụ tài chính về đất đai,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(6)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3.1. Hồ sơ địa chính: a.1. Thành phần hồ sơ đối với trường hợp đăng ký và cấp Giấy chứng nhận quyền sử dụng đất, quyền sở hữu nhà ở và tài sản khác gắn liền với đất lần đầu, trừ các trường hợp quy định tại a2, a3, a4 mục này.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cấp Giấy chứng nhận quyền sử dụng đất, quyền sở hữu nhà ở và tài sản khác gắn liền với đất theo Mẫu số 04/ĐK: Bản chính (kèm theo mẫu đơn 04b/ĐK; 04c/ĐK; 04d/ĐK);</w:t>
            </w:r>
          </w:p>
        </w:tc>
        <w:tc>
          <w:p/>
          <w:p>
            <w:pPr>
              <w:spacing w:after="0" w:before="0" w:lineRule="auto" w:line="276"/>
              <w:jc w:val="left"/>
            </w:pPr>
            <w:r>
              <w:rPr>
                <w:rFonts w:ascii="Times New Roman" w:hAnsi="Times New Roman" w:cs="Times New Roman" w:eastAsia="Times New Roman"/>
                <w:b w:val="false"/>
                <w:sz w:val="26"/>
              </w:rPr>
              <w:t>Mẫu 4aĐK.docx</w:t>
            </w:r>
          </w:p>
          <w:p>
            <w:pPr>
              <w:spacing w:after="0" w:before="0" w:lineRule="auto" w:line="276"/>
              <w:jc w:val="left"/>
            </w:pPr>
            <w:r>
              <w:rPr>
                <w:rFonts w:ascii="Times New Roman" w:hAnsi="Times New Roman" w:cs="Times New Roman" w:eastAsia="Times New Roman"/>
                <w:b w:val="false"/>
                <w:sz w:val="26"/>
              </w:rPr>
              <w:t>Mẫu 4bĐK.docx</w:t>
            </w:r>
          </w:p>
          <w:p>
            <w:pPr>
              <w:spacing w:after="0" w:before="0" w:lineRule="auto" w:line="276"/>
              <w:jc w:val="left"/>
            </w:pPr>
            <w:r>
              <w:rPr>
                <w:rFonts w:ascii="Times New Roman" w:hAnsi="Times New Roman" w:cs="Times New Roman" w:eastAsia="Times New Roman"/>
                <w:b w:val="false"/>
                <w:sz w:val="26"/>
              </w:rPr>
              <w:t>Mẫu 4cĐK.docx</w:t>
            </w:r>
          </w:p>
          <w:p>
            <w:pPr>
              <w:spacing w:after="0" w:before="0" w:lineRule="auto" w:line="276"/>
              <w:jc w:val="left"/>
            </w:pPr>
            <w:r>
              <w:rPr>
                <w:rFonts w:ascii="Times New Roman" w:hAnsi="Times New Roman" w:cs="Times New Roman" w:eastAsia="Times New Roman"/>
                <w:b w:val="false"/>
                <w:sz w:val="26"/>
              </w:rPr>
              <w:t>Mẫu 4d.docx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 (2.1)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 (2.2) Giấy chứng nhận quyền sử dụng đất tạm thời được cơ quan nhà nước có thẩm quyền cấp hoặc có tên trong Sổ đăng ký ruộng đất, Sổ địa chính trước ngày 15 tháng 10 năm 1993;  (2.3) Giấy tờ hợp pháp về thừa kế, tặng cho quyền sử dụng đất hoặc tài sản gắn liền với đất; giấy tờ giao nhà tình nghĩa, nhà tình thương gắn liền với đất; (2.4) Giấy tờ chuyển nhượng quyền sử dụng đất, mua bán nhà ở gắn liền với đất ở trước ngày 15 tháng 10 năm 1993 được Ủy ban nhân dân cấp xã xác nhận là đã sử dụng trước ngày 15 tháng 10 năm 1993; (2.5) Giấy tờ thanh lý, hóa giá nhà ở gắn liền với đất ở; giấy tờ mua nhà ở thuộc sở hữu nhà nước theo quy định của pháp luật; (2.6) Giấy tờ về quyền sử dụng đất do cơ quan có thẩm quyền thuộc chế độ cũ cấp cho người sử dụng đất; (2.7) Một trong các giấy tờ lập trước ngày 15 tháng 10 năm 1993 có tên người sử dụng đất, bao gồm: - Sổ mục kê đất, sổ kiến điền lập trước ngày 18 tháng 12 năm 1980. -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 Biên bản xét duyệt của Hội đồng đăng ký ruộng đất cấp xã xác định người đang sử dụng đất là hợp pháp;   + Bản tổng hợp các trường hợp sử dụng đất hợp pháp do Ủy ban nhân dân cấp xã hoặc Hội đồng đăng ký ruộng đất cấp xã hoặc cơ quan quản lý đất đai cấp huyện, cấp tỉnh lập;  +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 + Giấy tờ về việc chứng nhận đã đăng ký quyền sử dụng đất của Ủy ban nhân dân cấp xã, cấp huyện hoặc cấp tỉnh cấp cho người sử dụng đất; + Giấy tờ về việc kê khai đăng ký nhà cửa được Ủy ban nhân dân cấp xã, cấp huyện hoặc cấp tỉnh xác nhận mà trong đó có ghi diện tích đất có nhà ở; +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 - Dự án hoặc danh sách hoặc văn bản về việc di dân đi xây dựng khu kinh tế mới, di dân tái định cư được Ủy ban nhân dân cấp huyện, cấp tỉnh hoặc cơ quan nhà nước có thẩm quyền phê duyệt. - Giấy tờ của nông trường, lâm trường quốc doanh về việc giao đất cho người lao động trong nông trường, lâm trường để làm nhà ở (nếu có). -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 -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 -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 (2.8) Bản sao các giấy tờ lập trước ngày 15 tháng 10 năm 1993 có tên người sử dụng đất nêu tại điểm 2.7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 (2.9) Một trong các giấy tờ về quyền sử dụng đất nêu tại các điểm 2.1 đến 2.8 trên đây mà trên giấy tờ đó ghi tên người khác, kèm theo giấy tờ về việc chuyển quyền sử dụng đất có chữ ký của các bên có liên quan. (2.10)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(2.11) Hộ gia đình, cá nhân đang sử dụng đất có quyết định giao đất, cho thuê đất của cơ quan nhà nước có thẩm quyền từ ngày 15/10/1993 đến ngày 01/7/2014. (2.12) Giấy xác nhận là đất sử dụng chung cho cộng đồng đối với trường hợp cộng đồng dân cư đang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Một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 (3.1) Hộ gia đình, cá nhân trong nước phải có một trong các loại giấy tờ sau:                      -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 - Giấy tờ về giao hoặc tặng nhà tình nghĩa, nhà tình thương, nhà đại đoàn kết; -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 -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 - Bản án hoặc quyết định của Toà án nhân dân hoặc giấy tờ của cơ quan nhà nước có thẩm quyền giải quyết được quyền sở hữu nhà ở đã có hiệu lực pháp luật;  -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 -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 (3.2) Người Việt Nam định cư ở nước ngoài sở hữu nhà ở tại Việt Nam phải có các giấy tờ sau: - Giấy tờ về mua bán hoặc nhận tặng cho hoặc nhận thừa kế nhà ở hoặc được sở hữu nhà ở thông qua hình thức khác theo quy định của pháp luật về nhà ở; - Một trong các giấy tờ của bên chuyển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(5) Một trong các giấy tờ về quyền sở hữu rừng sản xuất là rừng trồng đối với trường hợp chứng nhận tài sản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 - Giấy tờ về giao rừng sản xuất là rừng trồng; - Hợp đồng hoặc văn bản về việc mua bán hoặc tặng cho hoặc thừa kế đối với rừng sản xuất là rừng trồng đã được công chứng hoặc chứng thực theo quy định của pháp luật; - Bản án, quyết định của Tòa án nhân dân hoặc giấy tờ của cơ quan nhà nước có thẩm quyền giải quyết được quyền sở hữu rừng sản xuất là rừng trồng đã có hiệu lực pháp luật; - Trường hợp hộ gia đình, cá nhân, cộng đồng dân cư không có giấy tờ về quyền sở hữu rừng mà đã trồng rừng sản xuất bằng vốn của mình thì phải được Văn phòng đăng ký quyền sử dụng đất xác nhận có đủ điều kiện được công nhận quyền sử dụng đất theo quy định của pháp luật đất đai;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(6) Một trong các giấy tờ về quyền sở hữu cây lâu năm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 - Hợp đồng hoặc văn bản về việc mua bán hoặc tặng cho hoặc thừa kế đối với cây lâu năm đã được công chứng hoặc chứng thực theo quy định; - Bản án, quyết định của Tòa án nhân dân hoặc giấy tờ của cơ quan nhà nước có thẩm quyền giải quyết được quyền sở hữu cây lâu năm đã có hiệu lực pháp luật; - Trường hợp hộ gia đình, cá nhân, cộng đồng dân cư không có giấy tờ về quyền sở hữu cây lâu năm nêu trên đây thì phải được Văn phòng đăng ký quyền sử dụng đất xác nhận có đủ điều kiện được công nhận quyền sử dụng đất theo quy định của pháp luật đất đai;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(7)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Một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 hồ sơ thiết kế xây dựng của công trình đối với trường hợp chứng nhận quyền sở hữu công trình trên đất nông nghiệp: - Giấy phép xây dựng công trình hoặc giấy phép xây dựng công trình có thời hạn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Giấy tờ về sở hữu công trình xây dựng do cơ quan có thẩm quyền cấp qua các thời kỳ, trừ trường hợp Nhà nước đã quản lý, bố trí sử dụng; - Giấy tờ mua bán hoặc tặng cho hoặc thừa kế công trình xây dựng theo quy định của pháp luật đã được công chứng hoặc chứng thực theo quy định; - Giấy tờ của Toà án nhân dân hoặc cơ quan nhà nước có thẩm quyền giải quyết được quyền sở hữu công trình xây dựng đã có hiệu lực pháp luật;  -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 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3.1. Hồ sơ địa chính: a2) Hồ sơ nộp khi cấp Giấy chứng nhận đối với trường hợp diện tích đất tăng thêm do nhận chuyển nhượng, thừa kế, tặng cho quyền sử dụng đất đã được cấp giấy chứng nhận nhưng thửa đất gốc chưa được cấp giấy chứng nhận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p/>
          <w:p>
            <w:pPr>
              <w:spacing w:after="0" w:before="0" w:lineRule="auto" w:line="276"/>
              <w:jc w:val="left"/>
            </w:pPr>
            <w:r>
              <w:rPr>
                <w:rFonts w:ascii="Times New Roman" w:hAnsi="Times New Roman" w:cs="Times New Roman" w:eastAsia="Times New Roman"/>
                <w:b w:val="false"/>
                <w:sz w:val="26"/>
              </w:rPr>
              <w:t>Mẫu 4aĐK.docx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Một trong các loại giấy tờ quy định tại Điều 100 của Luật đất đai, Điều 18 của Nghị định số 43/2014/NĐ-CP và Khoản 16 Điều 2 của Nghị định số01/2017/NĐCP của thửa đất gốc;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Chứng từ thực hiện nghĩa vụ tài chính; giấy tờ liên quan đến việc miễn, giảm nghĩa vụ tài chính về đất đai,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(6)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lptb (Mẫu số 01LPTB).doc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w:t>
            </w:r>
          </w:p>
        </w:tc>
        <w:tc>
          <w:p/>
          <w:p>
            <w:pPr>
              <w:spacing w:after="0" w:before="0" w:lineRule="auto" w:line="276"/>
              <w:jc w:val="left"/>
            </w:pPr>
            <w:r>
              <w:rPr>
                <w:rFonts w:ascii="Times New Roman" w:hAnsi="Times New Roman" w:cs="Times New Roman" w:eastAsia="Times New Roman"/>
                <w:b w:val="false"/>
                <w:sz w:val="26"/>
              </w:rPr>
              <w:t>PNN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thu nhập từ chuyển nhượng bất động sản (trừ trường hợp bên chuyển nhượng là doanh nghiệp có chức năng kinh doanh bất động sản) theo quy định của pháp luật về thuế (nếu có): Bản chính.</w:t>
            </w:r>
          </w:p>
        </w:tc>
        <w:tc>
          <w:p/>
          <w:p>
            <w:pPr>
              <w:spacing w:after="0" w:before="0" w:lineRule="auto" w:line="276"/>
              <w:jc w:val="left"/>
            </w:pPr>
            <w:r>
              <w:rPr>
                <w:rFonts w:ascii="Times New Roman" w:hAnsi="Times New Roman" w:cs="Times New Roman" w:eastAsia="Times New Roman"/>
                <w:b w:val="false"/>
                <w:sz w:val="26"/>
              </w:rPr>
              <w:t>Mau so 03.BDS-TNDN. To khai thue thu nhap Ca nhan.doc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 Bản chính;</w:t>
            </w:r>
          </w:p>
        </w:tc>
        <w:tc>
          <w:p/>
          <w:p>
            <w:pPr>
              <w:spacing w:after="0" w:before="0" w:lineRule="auto" w:line="276"/>
              <w:jc w:val="left"/>
            </w:pPr>
            <w:r>
              <w:rPr>
                <w:rFonts w:ascii="Times New Roman" w:hAnsi="Times New Roman" w:cs="Times New Roman" w:eastAsia="Times New Roman"/>
                <w:b w:val="false"/>
                <w:sz w:val="26"/>
              </w:rPr>
              <w:t>mẫu 01.MGTH.doc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chuyển nhượng bất động sản theo quy định của pháp luật (bản sao) hoặc Hợp đồng tặng cho tài sản là bất động sản theo quy định của pháp luật (bản sao) hoặc Hợp đồng (hoặc các giấy tờ) thừa kế bất động sản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Chi nhánh Văn phòng đăng ký đất đai (Sở Tài nguyên và Môi trường) tại Bộ phận tiếp nhận và trả kết quả thuộc Văn phòng HĐND và UBND cấp huyện; 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thuế, Ủy ban nhân dân cấp xã, Phòng Tài nguyên và môi trường, Cơ quan quản lý nhà nước về nhà ở, công trình xây dựng, nông nghiệp</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92/2015/TT-BTC</w:t>
            </w:r>
          </w:p>
        </w:tc>
        <w:tc>
          <w:p/>
          <w:p>
            <w:pPr>
              <w:spacing w:after="0" w:before="0" w:lineRule="auto" w:line="276"/>
              <w:jc w:val="left"/>
            </w:pPr>
            <w:r>
              <w:rPr>
                <w:rFonts w:ascii="Times New Roman" w:hAnsi="Times New Roman" w:cs="Times New Roman" w:eastAsia="Times New Roman"/>
                <w:b w:val="false"/>
                <w:sz w:val="26"/>
              </w:rPr>
              <w:t>Thông tư 92/2015/TT-BTC</w:t>
            </w:r>
          </w:p>
        </w:tc>
        <w:tc>
          <w:p/>
          <w:p>
            <w:pPr>
              <w:spacing w:after="0" w:before="0" w:lineRule="auto" w:line="276"/>
              <w:jc w:val="left"/>
            </w:pPr>
            <w:r>
              <w:rPr>
                <w:rFonts w:ascii="Times New Roman" w:hAnsi="Times New Roman" w:cs="Times New Roman" w:eastAsia="Times New Roman"/>
                <w:b w:val="false"/>
                <w:sz w:val="26"/>
              </w:rPr>
              <w:t>15-06-2015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luật đất đai năm 2013</w:t>
            </w:r>
          </w:p>
        </w:tc>
        <w:tc>
          <w:p/>
          <w:p>
            <w:pPr>
              <w:spacing w:after="0" w:before="0" w:lineRule="auto" w:line="276"/>
              <w:jc w:val="left"/>
            </w:pPr>
            <w:r>
              <w:rPr>
                <w:rFonts w:ascii="Times New Roman" w:hAnsi="Times New Roman" w:cs="Times New Roman" w:eastAsia="Times New Roman"/>
                <w:b w:val="false"/>
                <w:sz w:val="26"/>
              </w:rPr>
              <w:t>01-07-2014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88/2016/TTLT-BTC-BTNMT</w:t>
            </w:r>
          </w:p>
        </w:tc>
        <w:tc>
          <w:p/>
          <w:p>
            <w:pPr>
              <w:spacing w:after="0" w:before="0" w:lineRule="auto" w:line="276"/>
              <w:jc w:val="left"/>
            </w:pPr>
            <w:r>
              <w:rPr>
                <w:rFonts w:ascii="Times New Roman" w:hAnsi="Times New Roman" w:cs="Times New Roman" w:eastAsia="Times New Roman"/>
                <w:b w:val="false"/>
                <w:sz w:val="26"/>
              </w:rPr>
              <w:t>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tc>
      </w:tr>
      <w:tr>
        <w:tc>
          <w:p/>
          <w:p>
            <w:pPr>
              <w:spacing w:after="0" w:before="0" w:lineRule="auto" w:line="276"/>
              <w:jc w:val="left"/>
            </w:pPr>
            <w:r>
              <w:rPr>
                <w:rFonts w:ascii="Times New Roman" w:hAnsi="Times New Roman" w:cs="Times New Roman" w:eastAsia="Times New Roman"/>
                <w:b w:val="false"/>
                <w:sz w:val="26"/>
              </w:rPr>
              <w:t xml:space="preserve">24/2014/TT-BTNMT </w:t>
            </w:r>
          </w:p>
        </w:tc>
        <w:tc>
          <w:p/>
          <w:p>
            <w:pPr>
              <w:spacing w:after="0" w:before="0" w:lineRule="auto" w:line="276"/>
              <w:jc w:val="left"/>
            </w:pPr>
            <w:r>
              <w:rPr>
                <w:rFonts w:ascii="Times New Roman" w:hAnsi="Times New Roman" w:cs="Times New Roman" w:eastAsia="Times New Roman"/>
                <w:b w:val="false"/>
                <w:sz w:val="26"/>
              </w:rPr>
              <w:t>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23/2014/TT-BTNMT </w:t>
            </w:r>
          </w:p>
        </w:tc>
        <w:tc>
          <w:p/>
          <w:p>
            <w:pPr>
              <w:spacing w:after="0" w:before="0" w:lineRule="auto" w:line="276"/>
              <w:jc w:val="left"/>
            </w:pPr>
            <w:r>
              <w:rPr>
                <w:rFonts w:ascii="Times New Roman" w:hAnsi="Times New Roman" w:cs="Times New Roman" w:eastAsia="Times New Roman"/>
                <w:b w:val="false"/>
                <w:sz w:val="26"/>
              </w:rPr>
              <w:t>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xml:space="preserve">02/2015/TT-BTNMT </w:t>
            </w:r>
          </w:p>
        </w:tc>
        <w:tc>
          <w:p/>
          <w:p>
            <w:pPr>
              <w:spacing w:after="0" w:before="0" w:lineRule="auto" w:line="276"/>
              <w:jc w:val="left"/>
            </w:pPr>
            <w:r>
              <w:rPr>
                <w:rFonts w:ascii="Times New Roman" w:hAnsi="Times New Roman" w:cs="Times New Roman" w:eastAsia="Times New Roman"/>
                <w:b w:val="false"/>
                <w:sz w:val="26"/>
              </w:rPr>
              <w:t>Quy định chi tiết một số điều của Nghị định số 43/2014/NĐ-CP và Nghị định số 44/2014/NĐ-CP ngày 15/5/2014 của Chính phủ</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08/5/2020 của UBND tỉnh Ban hành Đơn giá dịch vụ công trong lĩnh vực đất đai áp dụng tại Văn phòng Đăng ký đất đai thực hiện trên địa bàn tỉnh Thanh Hóa</w:t>
            </w:r>
          </w:p>
        </w:tc>
        <w:tc>
          <w:p/>
          <w:p>
            <w:pPr>
              <w:spacing w:after="0" w:before="0" w:lineRule="auto" w:line="276"/>
              <w:jc w:val="left"/>
            </w:pPr>
            <w:r>
              <w:rPr>
                <w:rFonts w:ascii="Times New Roman" w:hAnsi="Times New Roman" w:cs="Times New Roman" w:eastAsia="Times New Roman"/>
                <w:b w:val="false"/>
                <w:sz w:val="26"/>
              </w:rPr>
              <w:t>08-05-2020</w:t>
            </w:r>
          </w:p>
        </w:tc>
        <w:tc>
          <w:p/>
          <w:p>
            <w:pPr>
              <w:spacing w:after="0" w:before="0" w:lineRule="auto" w:line="276"/>
              <w:jc w:val="left"/>
            </w:pPr>
            <w:r>
              <w:rPr>
                <w:rFonts w:ascii="Times New Roman" w:hAnsi="Times New Roman" w:cs="Times New Roman" w:eastAsia="Times New Roman"/>
                <w:b w:val="false"/>
                <w:sz w:val="26"/>
              </w:rPr>
              <w:t>Ủy ban nhân dân cấp Tỉnh</w:t>
            </w:r>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80/2021/TT-BTC</w:t>
            </w:r>
          </w:p>
        </w:tc>
        <w:tc>
          <w:p/>
          <w:p>
            <w:pPr>
              <w:spacing w:after="0" w:before="0" w:lineRule="auto" w:line="276"/>
              <w:jc w:val="left"/>
            </w:pPr>
            <w:r>
              <w:rPr>
                <w:rFonts w:ascii="Times New Roman" w:hAnsi="Times New Roman" w:cs="Times New Roman" w:eastAsia="Times New Roman"/>
                <w:b w:val="false"/>
                <w:sz w:val="26"/>
              </w:rPr>
              <w:t>Thông tư số 80/2021/TT-BTC ngày 29 tháng 9 năm 2021 của Bộ Tài chính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29-09-2021</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 10/2023/NĐ-CP</w:t>
            </w:r>
          </w:p>
        </w:tc>
        <w:tc>
          <w:p/>
          <w:p>
            <w:pPr>
              <w:spacing w:after="0" w:before="0" w:lineRule="auto" w:line="276"/>
              <w:jc w:val="left"/>
            </w:pPr>
            <w:r>
              <w:rPr>
                <w:rFonts w:ascii="Times New Roman" w:hAnsi="Times New Roman" w:cs="Times New Roman" w:eastAsia="Times New Roman"/>
                <w:b w:val="false"/>
                <w:sz w:val="26"/>
              </w:rPr>
              <w:t>03-04-2023</w:t>
            </w:r>
          </w:p>
        </w:tc>
        <w:tc>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
- Đối với công trình xây dựng có sử dụng vào mục đích lưu trú du lịch theo quy định của pháp luật về du lịch trên đất thương mại, dịch vụ nếu đáp ứng đủ điều kiện theo quy định của pháp luật về đất đai, pháp luật về xây dựng, pháp luật về kinh doanh bất động sản thì được chứng nhận quyền sở hữu công trình xây dựng gắn liền với đất theo mục đích sử dụng đất thương mại, dịch vụ;</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2024-03-29T00:49:48Z</dcterms:created>
  <dc:creator>Apache POI</dc:creator>
</cp:coreProperties>
</file>