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1.008385.000.00.00.H56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2423/QĐ-UBND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Trình tự, thủ tục quyết định chủ trương đầu tư đối với Dự án sân gôn thuộc thẩm quyền của Thủ tướng Chính phủ (đối với dự án thuộc diện cấp Giấy chứng nhận đăng ký đầu tư)</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Đầu tư tại Việt nam</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Bước 1: Nhà đầu tư nộp hồ sơ Dự án sân gôn theo quy định tại các khoản 1 và 2 Điều 10 Nghị định số 52/2020/NĐ-CP cho Cơ quan đăng ký đầu tư nơi thực hiện Dự án sân gôn. Cụ thể:
- Hồ sơ nộp tại Bộ phận tiếp nhận hồ sơ và trả kết quả Sở Kế hoạch  Thanh Hóa tại Trung tâm hành chính công tỉnh Thanh Hóa đối với các dự án sau:
+ Dự án thực hiện ngoài Khu kinh tế Nghi Sơn và các khu công nghiệp đã được thành lập trên địa bàn tỉnh và không thuộc trường hợp quy định tại khoản 4 Điều 5 Quyết định số 22/2018/QĐ-UBND ngày 10/7/2018 của UBND tỉnh Thanh Hóa về việc ban hành Quy định việc thực hiện trình tự, thủ tục quyết định chủ trương đầu tư; chấp thuận địa điểm đầu tư; giao đất, cho thuê đất, chuyển mục đích sử dụng đất để thực hiện dự án đầu tư trên địa bàn tỉnh Thanh Hóa.
+ Dự án thực hiện đồng thời ở trong và ngoài Khu kinh tế Nghi Sơn, các khu công nghiệp đã được thành lập trên địa bàn tỉnh.
- Hồ sơ nộp tại Ban Quản lý Khu kinh tế Nghi Sơn và các khu công nghiệp đối với dự án thực hiện tại Khu kinh tế Nghi Sơn và các khu vực thuộc phạm vi của Quy hoạch phát triển các khu công nghiệp ở Việt Nam được Thủ tướng Chính phủ phê duyệt nhưng chưa có quy hoạch chi tiết xây dựng tỷ lệ 1/500 hoặc không phù hợp với quy hoạch chi tiết xây dựng tỷ lệ 1/500 được cấp có thẩm quyền phê duyệt.</w:t>
      </w:r>
    </w:p>
    <w:p>
      <w:pPr>
        <w:spacing w:after="0" w:before="0" w:lineRule="auto" w:line="276"/>
        <w:jc w:val="both"/>
      </w:pPr>
      <w:r>
        <w:rPr>
          <w:rFonts w:ascii="Times New Roman" w:hAnsi="Times New Roman" w:cs="Times New Roman" w:eastAsia="Times New Roman"/>
          <w:b w:val="false"/>
          <w:sz w:val="26"/>
        </w:rPr>
        <w:t>* Bước 2: Cơ quan đăng ký đầu tư gửi hồ sơ lấy ý kiến của các bộ, cơ quan có liên quan về những nội dung của Dự án sân gôn;</w:t>
      </w:r>
    </w:p>
    <w:p>
      <w:pPr>
        <w:spacing w:after="0" w:before="0" w:lineRule="auto" w:line="276"/>
        <w:jc w:val="both"/>
      </w:pPr>
      <w:r>
        <w:rPr>
          <w:rFonts w:ascii="Times New Roman" w:hAnsi="Times New Roman" w:cs="Times New Roman" w:eastAsia="Times New Roman"/>
          <w:b w:val="false"/>
          <w:sz w:val="26"/>
        </w:rPr>
        <w:t>* Bước 3: Các bộ, cơ quan được lấy ý kiến có ý kiến bằng văn bản về những nội dung của Dự án sân gôn thuộc phạm vi chức năng, nhiệm vụ của mình, gửi Cơ quan đăng ký đầu tư;</w:t>
      </w:r>
    </w:p>
    <w:p>
      <w:pPr>
        <w:spacing w:after="0" w:before="0" w:lineRule="auto" w:line="276"/>
        <w:jc w:val="both"/>
      </w:pPr>
      <w:r>
        <w:rPr>
          <w:rFonts w:ascii="Times New Roman" w:hAnsi="Times New Roman" w:cs="Times New Roman" w:eastAsia="Times New Roman"/>
          <w:b w:val="false"/>
          <w:sz w:val="26"/>
        </w:rPr>
        <w:t>* Bước 4: Cơ quan đăng ký đầu tư tổng hợp, báo cáo Ủy ban nhân dân cấp tỉnh xem xét, có ý kiến thẩm định hồ sơ Dự án sân gôn gửi Bộ Kế hoạch và Đầu tư;</w:t>
      </w:r>
    </w:p>
    <w:p>
      <w:pPr>
        <w:spacing w:after="0" w:before="0" w:lineRule="auto" w:line="276"/>
        <w:jc w:val="both"/>
      </w:pPr>
      <w:r>
        <w:rPr>
          <w:rFonts w:ascii="Times New Roman" w:hAnsi="Times New Roman" w:cs="Times New Roman" w:eastAsia="Times New Roman"/>
          <w:b w:val="false"/>
          <w:sz w:val="26"/>
        </w:rPr>
        <w:t>* Bước 5: Bộ Kế hoạch và Đầu tư tổ chức thẩm định, lập báo cáo trình Thủ tướng Chính phủ quyết định chủ trương đầu tư gồm các nội dung theo quy định của pháp luật đầu tư;</w:t>
      </w:r>
    </w:p>
    <w:p>
      <w:pPr>
        <w:spacing w:after="0" w:before="0" w:lineRule="auto" w:line="276"/>
        <w:jc w:val="both"/>
      </w:pPr>
      <w:r>
        <w:rPr>
          <w:rFonts w:ascii="Times New Roman" w:hAnsi="Times New Roman" w:cs="Times New Roman" w:eastAsia="Times New Roman"/>
          <w:b w:val="false"/>
          <w:sz w:val="26"/>
        </w:rPr>
        <w:t>* Bước 6: Văn phòng Chính phủ thực hiện thẩm tra, trình Thủ tướng Chính phủ xem xét, quyết định chủ trương đầu tư đối với dự án sân gôn. Thủ tướng Chính phủ xem xét, quyết định và Văn phòng Chính phủ thực hiện phát hành, công khai văn bản theo đúng Quy chế làm việc của Chính phủ.</w:t>
      </w:r>
    </w:p>
    <w:p>
      <w:pPr>
        <w:spacing w:after="0" w:before="0" w:lineRule="auto" w:line="276"/>
        <w:jc w:val="both"/>
      </w:pPr>
      <w:r>
        <w:rPr>
          <w:rFonts w:ascii="Times New Roman" w:hAnsi="Times New Roman" w:cs="Times New Roman" w:eastAsia="Times New Roman"/>
          <w:b w:val="false"/>
          <w:sz w:val="26"/>
        </w:rPr>
        <w:t>* Bước 7: Cơ quan đăng ký đầu tư cấp Giấy chứng nhận đăng ký đầu tư cho nhà đầu tư khi nhận được văn bản quyết định chủ trương đầu tư.</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Trực tiếp tại trụ sở cơ quan hành chính nhà nước. </w:t>
            </w:r>
          </w:p>
        </w:tc>
        <w:tc>
          <w:p/>
          <w:p>
            <w:pPr>
              <w:spacing w:after="0" w:before="0" w:lineRule="auto" w:line="276"/>
              <w:jc w:val="left"/>
            </w:pPr>
            <w:r>
              <w:rPr>
                <w:rFonts w:ascii="Times New Roman" w:hAnsi="Times New Roman" w:cs="Times New Roman" w:eastAsia="Times New Roman"/>
                <w:b w:val="false"/>
                <w:sz w:val="26"/>
              </w:rPr>
              <w:t>Phí : VN Đồng</w:t>
              <w:t xml:space="preserve"> (Không có)</w:t>
            </w:r>
          </w:p>
        </w:tc>
        <w:tc>
          <w:p/>
          <w:p>
            <w:pPr>
              <w:spacing w:after="0" w:before="0" w:lineRule="auto" w:line="276"/>
              <w:jc w:val="left"/>
            </w:pPr>
            <w:r>
              <w:rPr>
                <w:rFonts w:ascii="Times New Roman" w:hAnsi="Times New Roman" w:cs="Times New Roman" w:eastAsia="Times New Roman"/>
                <w:b w:val="false"/>
                <w:sz w:val="26"/>
              </w:rPr>
              <w:t>- Trong thời hạn 03 ngày làm việc kể từ ngày nhận đủ Hồ sơ Dự án sân gôn theo quy định tại điểm a khoản này, Cơ quan đăng ký đầu tư gửi hồ sơ lấy ý kiến của các bộ, cơ quan có liên quan về những nội dung của Dự án sân gôn;
- Trong thời hạn 15 ngày kể từ ngày nhận được hồ sơ lấy ý kiến, các bộ, cơ quan được lấy ý kiến có ý kiến bằng văn bản về những nội dung của Dự án sân gôn thuộc phạm vi chức năng, nhiệm vụ của mình, gửi Cơ quan đăng ký đầu tư;
- Trong thời hạn 25 ngày kể từ ngày nhận được Hồ sơ Dự án sân gôn, Cơ quan đăng ký đầu tư tổng hợp, báo cáo Ủy ban nhân dân cấp tỉnh xem xét, có ý kiến thẩm định hồ sơ Dự án sân gôn gửi Bộ Kế hoạch và Đầu tư;
- Trong thời hạn 15 ngày kể từ ngày nhận được ý kiến của Ủy ban nhân dân cấp tỉnh, Bộ Kế hoạch và Đầu tư tổ chức thẩm định, lập báo cáo trình Thủ tướng Chính phủ quyết định chủ trương đầu tư gồm các nội dung theo quy định của pháp luật đầu tư;
- Trong thời hạn 05 ngày kể từ nhận được hồ sơ trình đầy đủ, đúng thủ tục của Bộ Kế hoạch và Đầu tư, Văn phòng Chính phủ thực hiện thẩm tra, trình Thủ tướng Chính phủ xem xét, quyết định chủ trương đầu tư đối với dự án sân gôn. Thủ tướng Chính phủ xem xét, quyết định và Văn phòng Chính phủ thực hiện phát hành, công khai văn bản theo đúng Quy chế làm việc của Chính phủ.
- Cơ quan đăng ký đầu tư cấp Giấy chứng nhận đăng ký đầu tư cho nhà đầu tư trong thời hạn 05 ngày làm việc kể từ ngày nhận được văn bản quyết định chủ trương đầu tư.</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Trực tiếp tại trụ sở cơ quan hành chính nhà nước. </w:t>
            </w:r>
          </w:p>
        </w:tc>
        <w:tc>
          <w:p/>
          <w:p>
            <w:pPr>
              <w:spacing w:after="0" w:before="0" w:lineRule="auto" w:line="276"/>
              <w:jc w:val="left"/>
            </w:pPr>
            <w:r>
              <w:rPr>
                <w:rFonts w:ascii="Times New Roman" w:hAnsi="Times New Roman" w:cs="Times New Roman" w:eastAsia="Times New Roman"/>
                <w:b w:val="false"/>
                <w:sz w:val="26"/>
              </w:rPr>
              <w:t>Phí : VN Đồng</w:t>
              <w:t xml:space="preserve"> (Không có)</w:t>
            </w:r>
          </w:p>
        </w:tc>
        <w:tc>
          <w:p/>
          <w:p>
            <w:pPr>
              <w:spacing w:after="0" w:before="0" w:lineRule="auto" w:line="276"/>
              <w:jc w:val="left"/>
            </w:pPr>
            <w:r>
              <w:rPr>
                <w:rFonts w:ascii="Times New Roman" w:hAnsi="Times New Roman" w:cs="Times New Roman" w:eastAsia="Times New Roman"/>
                <w:b w:val="false"/>
                <w:sz w:val="26"/>
              </w:rPr>
              <w:t>- Trong thời hạn 03 ngày làm việc kể từ ngày nhận đủ Hồ sơ Dự án sân gôn theo quy định tại điểm a khoản này, Cơ quan đăng ký đầu tư gửi hồ sơ lấy ý kiến của các bộ, cơ quan có liên quan về những nội dung của Dự án sân gôn;
- Trong thời hạn 15 ngày kể từ ngày nhận được hồ sơ lấy ý kiến, các bộ, cơ quan được lấy ý kiến có ý kiến bằng văn bản về những nội dung của Dự án sân gôn thuộc phạm vi chức năng, nhiệm vụ của mình, gửi Cơ quan đăng ký đầu tư;
- Trong thời hạn 25 ngày kể từ ngày nhận được Hồ sơ Dự án sân gôn, Cơ quan đăng ký đầu tư tổng hợp, báo cáo Ủy ban nhân dân cấp tỉnh xem xét, có ý kiến thẩm định hồ sơ Dự án sân gôn gửi Bộ Kế hoạch và Đầu tư;
- Trong thời hạn 15 ngày kể từ ngày nhận được ý kiến của Ủy ban nhân dân cấp tỉnh, Bộ Kế hoạch và Đầu tư tổ chức thẩm định, lập báo cáo trình Thủ tướng Chính phủ quyết định chủ trương đầu tư gồm các nội dung theo quy định của pháp luật đầu tư;
- Trong thời hạn 05 ngày kể từ nhận được hồ sơ trình đầy đủ, đúng thủ tục của Bộ Kế hoạch và Đầu tư, Văn phòng Chính phủ thực hiện thẩm tra, trình Thủ tướng Chính phủ xem xét, quyết định chủ trương đầu tư đối với dự án sân gôn. Thủ tướng Chính phủ xem xét, quyết định và Văn phòng Chính phủ thực hiện phát hành, công khai văn bản theo đúng Quy chế làm việc của Chính phủ.
- Cơ quan đăng ký đầu tư cấp Giấy chứng nhận đăng ký đầu tư cho nhà đầu tư trong thời hạn 05 ngày làm việc kể từ ngày nhận được văn bản quyết định chủ trương đầu tư.</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Văn bản đề nghị thực hiện dự án đầu tư;</w:t>
            </w:r>
          </w:p>
        </w:tc>
        <w:tc>
          <w:p/>
          <w:p>
            <w:pPr>
              <w:spacing w:after="0" w:before="0" w:lineRule="auto" w:line="276"/>
              <w:jc w:val="left"/>
            </w:pPr>
            <w:r>
              <w:rPr>
                <w:rFonts w:ascii="Times New Roman" w:hAnsi="Times New Roman" w:cs="Times New Roman" w:eastAsia="Times New Roman"/>
                <w:b w:val="false"/>
                <w:sz w:val="26"/>
              </w:rPr>
              <w:t>Mãu 1.1_TT16.docx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7</w:t>
            </w:r>
          </w:p>
        </w:tc>
      </w:tr>
      <w:tr>
        <w:tc>
          <w:p/>
          <w:p>
            <w:pPr>
              <w:spacing w:after="0" w:before="0" w:lineRule="auto" w:line="276"/>
              <w:jc w:val="left"/>
            </w:pPr>
            <w:r>
              <w:rPr>
                <w:rFonts w:ascii="Times New Roman" w:hAnsi="Times New Roman" w:cs="Times New Roman" w:eastAsia="Times New Roman"/>
                <w:b w:val="false"/>
                <w:sz w:val="26"/>
              </w:rPr>
              <w:t>-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8</w:t>
            </w:r>
          </w:p>
        </w:tc>
      </w:tr>
      <w:tr>
        <w:tc>
          <w:p/>
          <w:p>
            <w:pPr>
              <w:spacing w:after="0" w:before="0" w:lineRule="auto" w:line="276"/>
              <w:jc w:val="left"/>
            </w:pPr>
            <w:r>
              <w:rPr>
                <w:rFonts w:ascii="Times New Roman" w:hAnsi="Times New Roman" w:cs="Times New Roman" w:eastAsia="Times New Roman"/>
                <w:b w:val="false"/>
                <w:sz w:val="26"/>
              </w:rPr>
              <w:t>-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 giải trình việc đáp ứng nguyên tắc, điều kiện quy định tại các Điều 3, 5, 6, 7 và 8 Nghị định số 52/2020/NĐ-CP ngày 27/4/2020 của Chính phủ về điều kiện đầu tư và kinh doanh sân gôn.</w:t>
            </w:r>
          </w:p>
        </w:tc>
        <w:tc>
          <w:p/>
          <w:p>
            <w:pPr>
              <w:spacing w:after="0" w:before="0" w:lineRule="auto" w:line="276"/>
              <w:jc w:val="left"/>
            </w:pPr>
            <w:r>
              <w:rPr>
                <w:rFonts w:ascii="Times New Roman" w:hAnsi="Times New Roman" w:cs="Times New Roman" w:eastAsia="Times New Roman"/>
                <w:b w:val="false"/>
                <w:sz w:val="26"/>
              </w:rPr>
              <w:t>Mau 1.2_TT16.docx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7</w:t>
            </w:r>
          </w:p>
        </w:tc>
      </w:tr>
      <w:tr>
        <w:tc>
          <w:p/>
          <w:p>
            <w:pPr>
              <w:spacing w:after="0" w:before="0" w:lineRule="auto" w:line="276"/>
              <w:jc w:val="left"/>
            </w:pPr>
            <w:r>
              <w:rPr>
                <w:rFonts w:ascii="Times New Roman" w:hAnsi="Times New Roman" w:cs="Times New Roman" w:eastAsia="Times New Roman"/>
                <w:b w:val="false"/>
                <w:sz w:val="26"/>
              </w:rPr>
              <w:t>- Bản sao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8</w:t>
            </w:r>
          </w:p>
        </w:tc>
      </w:tr>
      <w:tr>
        <w:tc>
          <w:p/>
          <w:p>
            <w:pPr>
              <w:spacing w:after="0" w:before="0" w:lineRule="auto" w:line="276"/>
              <w:jc w:val="left"/>
            </w:pPr>
            <w:r>
              <w:rPr>
                <w:rFonts w:ascii="Times New Roman" w:hAnsi="Times New Roman" w:cs="Times New Roman" w:eastAsia="Times New Roman"/>
                <w:b w:val="false"/>
                <w:sz w:val="26"/>
              </w:rPr>
              <w:t>- Đề xuất nhu cầu sử dụng đất đối với dự án đề nghị nhà nước giao đất, cho thuê đất, cho phép chuyển mục đích sử dụng đất; Trường hợp dự án không đề nghị Nhà nước giao đất, cho thuê đất, cho phép chuyển mục đích sử dụng đất thì nhà đầu tư nộp bản sao thỏa thuận thuê địa điểm hoặc tài liệu khác xác nhận nhà đầu tư có quyền sử dụng địa điểm để thực hiện dự án đầu tư;</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7</w:t>
            </w:r>
          </w:p>
        </w:tc>
      </w:tr>
      <w:tr>
        <w:tc>
          <w:p/>
          <w:p>
            <w:pPr>
              <w:spacing w:after="0" w:before="0" w:lineRule="auto" w:line="276"/>
              <w:jc w:val="left"/>
            </w:pPr>
            <w:r>
              <w:rPr>
                <w:rFonts w:ascii="Times New Roman" w:hAnsi="Times New Roman" w:cs="Times New Roman" w:eastAsia="Times New Roman"/>
                <w:b w:val="false"/>
                <w:sz w:val="26"/>
              </w:rPr>
              <w:t>- Giải trình về sử dụng công nghệ đối với dự án quy định tại điểm b khoản 1 Điều 32 của Luật Đầu tư gồm các nội dung: tên công nghệ, xuất xứ công nghệ, sơ đồ quy trình công nghệ; thông số kỹ thuật chính, tình trạng sử dụng của máy móc, thiết bị và dây chuyền công nghệ chính;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7</w:t>
            </w:r>
          </w:p>
        </w:tc>
      </w:tr>
      <w:tr>
        <w:tc>
          <w:p/>
          <w:p>
            <w:pPr>
              <w:spacing w:after="0" w:before="0" w:lineRule="auto" w:line="276"/>
              <w:jc w:val="left"/>
            </w:pPr>
            <w:r>
              <w:rPr>
                <w:rFonts w:ascii="Times New Roman" w:hAnsi="Times New Roman" w:cs="Times New Roman" w:eastAsia="Times New Roman"/>
                <w:b w:val="false"/>
                <w:sz w:val="26"/>
              </w:rPr>
              <w:t>- Hợp đồng BCC đối với dự án đầu tư theo hình thức hợp đồng BCC;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7</w:t>
            </w:r>
          </w:p>
        </w:tc>
      </w:tr>
      <w:tr>
        <w:tc>
          <w:p/>
          <w:p>
            <w:pPr>
              <w:spacing w:after="0" w:before="0" w:lineRule="auto" w:line="276"/>
              <w:jc w:val="left"/>
            </w:pPr>
            <w:r>
              <w:rPr>
                <w:rFonts w:ascii="Times New Roman" w:hAnsi="Times New Roman" w:cs="Times New Roman" w:eastAsia="Times New Roman"/>
                <w:b w:val="false"/>
                <w:sz w:val="26"/>
              </w:rPr>
              <w:t>- Phương án giải phóng mặt bằng, di dân, tái định cư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7</w:t>
            </w:r>
          </w:p>
        </w:tc>
      </w:tr>
      <w:tr>
        <w:tc>
          <w:p/>
          <w:p>
            <w:pPr>
              <w:spacing w:after="0" w:before="0" w:lineRule="auto" w:line="276"/>
              <w:jc w:val="left"/>
            </w:pPr>
            <w:r>
              <w:rPr>
                <w:rFonts w:ascii="Times New Roman" w:hAnsi="Times New Roman" w:cs="Times New Roman" w:eastAsia="Times New Roman"/>
                <w:b w:val="false"/>
                <w:sz w:val="26"/>
              </w:rPr>
              <w:t>- Đánh giá sơ bộ tác động môi trường, các giải pháp bảo vệ môi trường;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7</w:t>
            </w:r>
          </w:p>
        </w:tc>
      </w:tr>
      <w:tr>
        <w:tc>
          <w:p/>
          <w:p>
            <w:pPr>
              <w:spacing w:after="0" w:before="0" w:lineRule="auto" w:line="276"/>
              <w:jc w:val="left"/>
            </w:pPr>
            <w:r>
              <w:rPr>
                <w:rFonts w:ascii="Times New Roman" w:hAnsi="Times New Roman" w:cs="Times New Roman" w:eastAsia="Times New Roman"/>
                <w:b w:val="false"/>
                <w:sz w:val="26"/>
              </w:rPr>
              <w:t>- Đánh giá tác động, hiệu quả kinh tế - xã hội của dự án đầu tư.</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7</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nước ngoài, Doanh nghiệp, Doanh nghiệp có vốn đầu tư nước ngoài, Tổ chức (không bao gồm doanh nghiệp, HTX), Tổ chức nước ngoài,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Bộ Kế hoạch và Đầu tư, Văn phòng Chính phủ, Ban quản lý dự án, Sở Kế hoạch và Đầu tư</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Thủ tướng Chính phủ</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 Bộ phận tiếp nhận và trả kết quả của Sở Kế hoạch  Thanh Hóa tại Trung tâm Phục vụ hành chính công tỉnh Thanh Hóa    (Số 28 Đại lộ Lê Lợi, phường Điện Biên, thành phố Thanh Hóa). - Bộ phận tiếp nhận và trả kết quả tại Ban quản lý Khu kinh tế Nghi Sơn và các khu công nghiệp tỉnh Thanh Hóa (Phường Trúc Lâm, thị xã Nghi Sơn, tỉnh Thanh Hóa)</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Bộ, cơ quan ngang Bộ, cơ quan thuộc Chính phủ, Các Sở, ngành cấp tỉnh</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 Văn bản quyết định chủ trương đầu tư của Thủ tướng Chính phủ hoặc Văn bản thông báo từ chối quyết định chủ trương đầu tư (nêu rõ lý do), Giấy chứng nhận đăng ký đầu tư.</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67/2014/QH13	</w:t>
            </w:r>
          </w:p>
        </w:tc>
        <w:tc>
          <w:p/>
          <w:p>
            <w:pPr>
              <w:spacing w:after="0" w:before="0" w:lineRule="auto" w:line="276"/>
              <w:jc w:val="left"/>
            </w:pPr>
            <w:r>
              <w:rPr>
                <w:rFonts w:ascii="Times New Roman" w:hAnsi="Times New Roman" w:cs="Times New Roman" w:eastAsia="Times New Roman"/>
                <w:b w:val="false"/>
                <w:sz w:val="26"/>
              </w:rPr>
              <w:t>Đầu tư</w:t>
            </w:r>
          </w:p>
        </w:tc>
        <w:tc>
          <w:p/>
          <w:p>
            <w:pPr>
              <w:spacing w:after="0" w:before="0" w:lineRule="auto" w:line="276"/>
              <w:jc w:val="left"/>
            </w:pPr>
            <w:r>
              <w:rPr>
                <w:rFonts w:ascii="Times New Roman" w:hAnsi="Times New Roman" w:cs="Times New Roman" w:eastAsia="Times New Roman"/>
                <w:b w:val="false"/>
                <w:sz w:val="26"/>
              </w:rPr>
              <w:t>26-11-2014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 xml:space="preserve">16/2015/TT-BKHĐT </w:t>
            </w:r>
          </w:p>
        </w:tc>
        <w:tc>
          <w:p/>
          <w:p>
            <w:pPr>
              <w:spacing w:after="0" w:before="0" w:lineRule="auto" w:line="276"/>
              <w:jc w:val="left"/>
            </w:pPr>
            <w:r>
              <w:rPr>
                <w:rFonts w:ascii="Times New Roman" w:hAnsi="Times New Roman" w:cs="Times New Roman" w:eastAsia="Times New Roman"/>
                <w:b w:val="false"/>
                <w:sz w:val="26"/>
              </w:rPr>
              <w:t>Thông tư</w:t>
            </w:r>
          </w:p>
        </w:tc>
        <w:tc>
          <w:p/>
          <w:p>
            <w:pPr>
              <w:spacing w:after="0" w:before="0" w:lineRule="auto" w:line="276"/>
              <w:jc w:val="left"/>
            </w:pPr>
            <w:r>
              <w:rPr>
                <w:rFonts w:ascii="Times New Roman" w:hAnsi="Times New Roman" w:cs="Times New Roman" w:eastAsia="Times New Roman"/>
                <w:b w:val="false"/>
                <w:sz w:val="26"/>
              </w:rPr>
              <w:t>18-11-2015</w:t>
            </w:r>
          </w:p>
        </w:tc>
        <w:tc>
          <w:p/>
          <w:p>
            <w:pPr>
              <w:spacing w:after="0" w:before="0" w:lineRule="auto" w:line="276"/>
              <w:jc w:val="left"/>
            </w:pPr>
            <w:r>
              <w:rPr>
                <w:rFonts w:ascii="Times New Roman" w:hAnsi="Times New Roman" w:cs="Times New Roman" w:eastAsia="Times New Roman"/>
                <w:b w:val="false"/>
                <w:sz w:val="26"/>
              </w:rPr>
              <w:t>Bộ Kế hoạch và Đầu tư</w:t>
            </w:r>
          </w:p>
        </w:tc>
      </w:tr>
      <w:tr>
        <w:tc>
          <w:p/>
          <w:p>
            <w:pPr>
              <w:spacing w:after="0" w:before="0" w:lineRule="auto" w:line="276"/>
              <w:jc w:val="left"/>
            </w:pPr>
            <w:r>
              <w:rPr>
                <w:rFonts w:ascii="Times New Roman" w:hAnsi="Times New Roman" w:cs="Times New Roman" w:eastAsia="Times New Roman"/>
                <w:b w:val="false"/>
                <w:sz w:val="26"/>
              </w:rPr>
              <w:t xml:space="preserve">118/2015/NĐ-CP </w:t>
            </w:r>
          </w:p>
        </w:tc>
        <w:tc>
          <w:p/>
          <w:p>
            <w:pPr>
              <w:spacing w:after="0" w:before="0" w:lineRule="auto" w:line="276"/>
              <w:jc w:val="left"/>
            </w:pPr>
            <w:r>
              <w:rPr>
                <w:rFonts w:ascii="Times New Roman" w:hAnsi="Times New Roman" w:cs="Times New Roman" w:eastAsia="Times New Roman"/>
                <w:b w:val="false"/>
                <w:sz w:val="26"/>
              </w:rPr>
              <w:t>Nghị định</w:t>
            </w:r>
          </w:p>
        </w:tc>
        <w:tc>
          <w:p/>
          <w:p>
            <w:pPr>
              <w:spacing w:after="0" w:before="0" w:lineRule="auto" w:line="276"/>
              <w:jc w:val="left"/>
            </w:pPr>
            <w:r>
              <w:rPr>
                <w:rFonts w:ascii="Times New Roman" w:hAnsi="Times New Roman" w:cs="Times New Roman" w:eastAsia="Times New Roman"/>
                <w:b w:val="false"/>
                <w:sz w:val="26"/>
              </w:rPr>
              <w:t>12-11-2015</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52/2020/NĐ-CP</w:t>
            </w:r>
          </w:p>
        </w:tc>
        <w:tc>
          <w:p/>
          <w:p>
            <w:pPr>
              <w:spacing w:after="0" w:before="0" w:lineRule="auto" w:line="276"/>
              <w:jc w:val="left"/>
            </w:pPr>
            <w:r>
              <w:rPr>
                <w:rFonts w:ascii="Times New Roman" w:hAnsi="Times New Roman" w:cs="Times New Roman" w:eastAsia="Times New Roman"/>
                <w:b w:val="false"/>
                <w:sz w:val="26"/>
              </w:rPr>
              <w:t>Về đầu tư xây dựng và kinh doanh sân gôn</w:t>
            </w:r>
          </w:p>
        </w:tc>
        <w:tc>
          <w:p/>
          <w:p>
            <w:pPr>
              <w:spacing w:after="0" w:before="0" w:lineRule="auto" w:line="276"/>
              <w:jc w:val="left"/>
            </w:pPr>
            <w:r>
              <w:rPr>
                <w:rFonts w:ascii="Times New Roman" w:hAnsi="Times New Roman" w:cs="Times New Roman" w:eastAsia="Times New Roman"/>
                <w:b w:val="false"/>
                <w:sz w:val="26"/>
              </w:rPr>
              <w:t>27-04-2020</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Dự án đầu tư xây dựng và kinh doanh sân gôn.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Trình tự, thủ tục quyết định chủ trương đầu tư, Dự án sân gôn,  thuộc thẩm quyền của Thủ tướng Chính phủ,  dự án thuộc diện cấp Giấy chứng nhận đăng ký đầu tư</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2024-03-29T08:05:38Z</dcterms:created>
  <dc:creator>Apache POI</dc:creator>
</cp:coreProperties>
</file>