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1.008455.000.00.00.H56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2697/QĐ-UBND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Cung cấp thông tin về quy hoạch xây dựng thuộc thẩm quyền của UBND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Các cơ quan, tổ chức, cá nhân có nhu cầu cung cấp thông tin quy hoạch bằng văn bản gửi 01 bộ hồ sơ qua mạng trực tuyến hoặc qua đường bưu điện hoặc nộp trực tiếp tại bộ phận tiếp nhận và trả kết quả của UBND cấp huyện;
- Bộ phận tiếp nhận và trả kết quả thuộc UBND huyện tiếp nhận kiểm tra nội dung và tính pháp lý của hồ sơ thuộc thẩm quyền giải quyết:
+ Trường hợp hồ sơ đầy đủ, hợp lệ thì viết giấy hẹn trao cho người nộp.
+ Trường hợp hồ sơ thiếu hoặc không hợp lệ thì công chức tiếp nhận hồ sơ hướng dẫn đầy đủ một lần để người nộp hoàn thiện hồ sơ.
-  Trong thời hạn 15 ngày kể từ ngày nhận đủ hồ sơ hợp lệ, Cơ quan quản lý quy hoạch xây dựng cấp huyện có trách nhiệm rà soát thông tin về địa điểm xây dựng, chỉ giới xây dựng, chỉ giới đường đỏ, cốt xây dựng, các thông tin khác liên quan đến quy hoạch và và cung cấp thông tin quy hoạch cho cơ quan, tổ chức, cá nhân.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15 ngày kể từ ngày nhận đủ hồ sơ hợp lệ
địa chỉ trực tuyến: https://dichvucong.thanhhoa.gov.vn (toàn trình)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cung cấp thông tin quy hoạch (trong đó ghi rõ thông tin về vị trí, địa điểm lô đất cần cung cấp thông tin).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quy hoạch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 UBND cấp huyện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cung cấp thông tin QH về địa điểm xây dựng, chỉ giới xây dựng, chỉ giới đường đỏ, cốt xây dựng và thông tin khác liên quan đến quy hoạch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30/2009/QH12</w:t>
            </w:r>
          </w:p>
        </w:tc>
        <w:tc>
          <w:p/>
          <w:p>
            <w:pPr>
              <w:spacing w:after="0" w:before="0" w:lineRule="auto" w:line="276"/>
              <w:jc w:val="left"/>
            </w:pPr>
            <w:r>
              <w:rPr>
                <w:rFonts w:ascii="Times New Roman" w:hAnsi="Times New Roman" w:cs="Times New Roman" w:eastAsia="Times New Roman"/>
                <w:b w:val="false"/>
                <w:sz w:val="26"/>
              </w:rPr>
              <w:t>Luật 30/2009/QH12</w:t>
            </w:r>
          </w:p>
        </w:tc>
        <w:tc>
          <w:p/>
          <w:p>
            <w:pPr>
              <w:spacing w:after="0" w:before="0" w:lineRule="auto" w:line="276"/>
              <w:jc w:val="left"/>
            </w:pPr>
            <w:r>
              <w:rPr>
                <w:rFonts w:ascii="Times New Roman" w:hAnsi="Times New Roman" w:cs="Times New Roman" w:eastAsia="Times New Roman"/>
                <w:b w:val="false"/>
                <w:sz w:val="26"/>
              </w:rPr>
              <w:t>17-06-2009</w:t>
            </w:r>
          </w:p>
        </w:tc>
        <w:tc>
          <w:p/>
        </w:tc>
      </w:tr>
      <w:tr>
        <w:tc>
          <w:p/>
          <w:p>
            <w:pPr>
              <w:spacing w:after="0" w:before="0" w:lineRule="auto" w:line="276"/>
              <w:jc w:val="left"/>
            </w:pPr>
            <w:r>
              <w:rPr>
                <w:rFonts w:ascii="Times New Roman" w:hAnsi="Times New Roman" w:cs="Times New Roman" w:eastAsia="Times New Roman"/>
                <w:b w:val="false"/>
                <w:sz w:val="26"/>
              </w:rPr>
              <w:t xml:space="preserve">50/2014/QH13 </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35/2018/QH14</w:t>
            </w:r>
          </w:p>
        </w:tc>
        <w:tc>
          <w:p/>
          <w:p>
            <w:pPr>
              <w:spacing w:after="0" w:before="0" w:lineRule="auto" w:line="276"/>
              <w:jc w:val="left"/>
            </w:pPr>
            <w:r>
              <w:rPr>
                <w:rFonts w:ascii="Times New Roman" w:hAnsi="Times New Roman" w:cs="Times New Roman" w:eastAsia="Times New Roman"/>
                <w:b w:val="false"/>
                <w:sz w:val="26"/>
              </w:rPr>
              <w:t>Luật 35/2018/QH14</w:t>
            </w:r>
          </w:p>
        </w:tc>
        <w:tc>
          <w:p/>
          <w:p>
            <w:pPr>
              <w:spacing w:after="0" w:before="0" w:lineRule="auto" w:line="276"/>
              <w:jc w:val="left"/>
            </w:pPr>
            <w:r>
              <w:rPr>
                <w:rFonts w:ascii="Times New Roman" w:hAnsi="Times New Roman" w:cs="Times New Roman" w:eastAsia="Times New Roman"/>
                <w:b w:val="false"/>
                <w:sz w:val="26"/>
              </w:rPr>
              <w:t>20-11-2018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2024-03-28T17:06:38Z</dcterms:created>
  <dc:creator>Apache POI</dc:creator>
</cp:coreProperties>
</file>