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1.008838.000.00.00.H56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3956/QĐ-UBND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Xác nhận Hợp đồng tiếp cận nguồn gen và chia sẻ lợi ích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Khoa học, Công nghệ và Môi trường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Nộp hồ sơ</w:t>
      </w:r>
    </w:p>
    <w:p>
      <w:pPr>
        <w:spacing w:after="0" w:before="0" w:lineRule="auto" w:line="276"/>
        <w:jc w:val="both"/>
      </w:pPr>
      <w:r>
        <w:rPr>
          <w:rFonts w:ascii="Times New Roman" w:hAnsi="Times New Roman" w:cs="Times New Roman" w:eastAsia="Times New Roman"/>
          <w:b w:val="false"/>
          <w:sz w:val="26"/>
        </w:rPr>
        <w:t>Tổ chức, cá nhân sau khi thực hiện thỏa thuận, ký Hợp đồng tiếp cận nguồn gen
và chia sẻ lợi ích với Bên cung cấp, nộp hồ sơ tới Ủy ban nhân dân cấp xã để xem xét
xác nhận hợp đồng</w:t>
      </w:r>
    </w:p>
    <w:p>
      <w:pPr>
        <w:spacing w:after="0" w:before="0" w:lineRule="auto" w:line="276"/>
        <w:jc w:val="both"/>
      </w:pPr>
      <w:r>
        <w:rPr>
          <w:rFonts w:ascii="Times New Roman" w:hAnsi="Times New Roman" w:cs="Times New Roman" w:eastAsia="Times New Roman"/>
          <w:b w:val="false"/>
          <w:sz w:val="26"/>
        </w:rPr>
        <w:t>Bước 2: Kiểm tra xem xét xác nhận Hợp đồng</w:t>
      </w:r>
    </w:p>
    <w:p>
      <w:pPr>
        <w:spacing w:after="0" w:before="0" w:lineRule="auto" w:line="276"/>
        <w:jc w:val="both"/>
      </w:pPr>
      <w:r>
        <w:rPr>
          <w:rFonts w:ascii="Times New Roman" w:hAnsi="Times New Roman" w:cs="Times New Roman" w:eastAsia="Times New Roman"/>
          <w:b w:val="false"/>
          <w:sz w:val="26"/>
        </w:rPr>
        <w:t>Ủy ban nhân dân cấp xã nơi có nguồn gen ngoài tự nhiên hoặc nơi đăng ký trụ sở của Bên cung cấp có trách nhiệm xác nhận Hợp đồng do tổ chức, cá nhân đề nghị.</w:t>
      </w:r>
    </w:p>
    <w:p>
      <w:pPr>
        <w:spacing w:after="0" w:before="0" w:lineRule="auto" w:line="276"/>
        <w:jc w:val="both"/>
      </w:pPr>
      <w:r>
        <w:rPr>
          <w:rFonts w:ascii="Times New Roman" w:hAnsi="Times New Roman" w:cs="Times New Roman" w:eastAsia="Times New Roman"/>
          <w:b w:val="false"/>
          <w:sz w:val="26"/>
        </w:rPr>
        <w:t>Việc xác nhận Hợp đồng được thực hiện đối với các trường hợp sau:</w:t>
      </w:r>
    </w:p>
    <w:p>
      <w:pPr>
        <w:spacing w:after="0" w:before="0" w:lineRule="auto" w:line="276"/>
        <w:jc w:val="both"/>
      </w:pPr>
      <w:r>
        <w:rPr>
          <w:rFonts w:ascii="Times New Roman" w:hAnsi="Times New Roman" w:cs="Times New Roman" w:eastAsia="Times New Roman"/>
          <w:b w:val="false"/>
          <w:sz w:val="26"/>
        </w:rPr>
        <w:t>- Xác nhận Hợp đồng tiếp cận nguồn gen và chia sẻ lợi ích từ việc sử dụng nguồn gen;</w:t>
      </w:r>
    </w:p>
    <w:p>
      <w:pPr>
        <w:spacing w:after="0" w:before="0" w:lineRule="auto" w:line="276"/>
        <w:jc w:val="both"/>
      </w:pPr>
      <w:r>
        <w:rPr>
          <w:rFonts w:ascii="Times New Roman" w:hAnsi="Times New Roman" w:cs="Times New Roman" w:eastAsia="Times New Roman"/>
          <w:b w:val="false"/>
          <w:sz w:val="26"/>
        </w:rPr>
        <w:t>- Xác nhận Hợp đồng tiếp cận nguồn gen và chia sẻ lợi ích khi có nhu cầu thay đổi mục đích tiếp cận nguồn gen;</w:t>
      </w:r>
    </w:p>
    <w:p>
      <w:pPr>
        <w:spacing w:after="0" w:before="0" w:lineRule="auto" w:line="276"/>
        <w:jc w:val="both"/>
      </w:pPr>
      <w:r>
        <w:rPr>
          <w:rFonts w:ascii="Times New Roman" w:hAnsi="Times New Roman" w:cs="Times New Roman" w:eastAsia="Times New Roman"/>
          <w:b w:val="false"/>
          <w:sz w:val="26"/>
        </w:rPr>
        <w:t>- Xác nhận Hợp đồng tiếp cận nguồn gen và chia sẻ lợi ích đối với trường hợp chuyển giao nguồn gen, dẫn xuất của nguồn gen kèm theo việc thay đổi mục đích sử dụng đã được quy định tại Giấy phép tiếp cận nguồn gen hoặc khi có nhu cầu thay đổi mục đích tiếp cận.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Qua Hệ thống dịch vụ công trực tuyến tại địa chỉ: http://dichvucong.thanhhoa.gov.vn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sao văn bản xác nhận đăng ký tiếp cận nguồn gen được Bộ Nông nghiệp và Phát triển nông thôn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Hợp đồng đã ký giữa các bên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đề nghị xác nhận Hợp đồng tiếp cận nguồn gen và chia sẻ lợi ích.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UBND cấp xã; Qua Hệ thống dịch vụ công trực tuyến tại địa chỉ: http://dichvucong.thanhhoa.gov.vn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Xác nhận vào Hợp đồng tiếp cận nguồn gen và chia sẻ lợi ích.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20/2008/QH12</w:t>
            </w:r>
          </w:p>
        </w:tc>
        <w:tc>
          <w:p/>
          <w:p>
            <w:pPr>
              <w:spacing w:after="0" w:before="0" w:lineRule="auto" w:line="276"/>
              <w:jc w:val="left"/>
            </w:pPr>
            <w:r>
              <w:rPr>
                <w:rFonts w:ascii="Times New Roman" w:hAnsi="Times New Roman" w:cs="Times New Roman" w:eastAsia="Times New Roman"/>
                <w:b w:val="false"/>
                <w:sz w:val="26"/>
              </w:rPr>
              <w:t>Luật đa dạng sinh học</w:t>
            </w:r>
          </w:p>
        </w:tc>
        <w:tc>
          <w:p/>
          <w:p>
            <w:pPr>
              <w:spacing w:after="0" w:before="0" w:lineRule="auto" w:line="276"/>
              <w:jc w:val="left"/>
            </w:pPr>
            <w:r>
              <w:rPr>
                <w:rFonts w:ascii="Times New Roman" w:hAnsi="Times New Roman" w:cs="Times New Roman" w:eastAsia="Times New Roman"/>
                <w:b w:val="false"/>
                <w:sz w:val="26"/>
              </w:rPr>
              <w:t>13-11-2008</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59/2017/NĐ-CP</w:t>
            </w:r>
          </w:p>
        </w:tc>
        <w:tc>
          <w:p/>
          <w:p>
            <w:pPr>
              <w:spacing w:after="0" w:before="0" w:lineRule="auto" w:line="276"/>
              <w:jc w:val="left"/>
            </w:pPr>
            <w:r>
              <w:rPr>
                <w:rFonts w:ascii="Times New Roman" w:hAnsi="Times New Roman" w:cs="Times New Roman" w:eastAsia="Times New Roman"/>
                <w:b w:val="false"/>
                <w:sz w:val="26"/>
              </w:rPr>
              <w:t>Nghị định 59/2017/NĐ-CP</w:t>
            </w:r>
          </w:p>
        </w:tc>
        <w:tc>
          <w:p/>
          <w:p>
            <w:pPr>
              <w:spacing w:after="0" w:before="0" w:lineRule="auto" w:line="276"/>
              <w:jc w:val="left"/>
            </w:pPr>
            <w:r>
              <w:rPr>
                <w:rFonts w:ascii="Times New Roman" w:hAnsi="Times New Roman" w:cs="Times New Roman" w:eastAsia="Times New Roman"/>
                <w:b w:val="false"/>
                <w:sz w:val="26"/>
              </w:rPr>
              <w:t>12-04-2017</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2024-03-29T08:26:29Z</dcterms:created>
  <dc:creator>Apache POI</dc:creator>
</cp:coreProperties>
</file>