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1.008891</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1186a/QĐ-BXD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cấp chứng chỉ hành nghề kiến trúc</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Quy hoạch xây dựng, kiến trúc</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Cá nhân có nhu cầu cấp chứng chỉ hành nghề kiến trúc nộp 01 bộ hồ sơ trực tuyến, qua dịch vụ bưu chính, trực tiếp tại Trung tâm phục vụ hành chính công hoặc Bộ phận tiếp nhận và trả kết quả của cơ quan chuyên môn về kiến trúc cấp tỉnh;</w:t>
      </w:r>
    </w:p>
    <w:p>
      <w:pPr>
        <w:spacing w:after="0" w:before="0" w:lineRule="auto" w:line="276"/>
        <w:jc w:val="both"/>
      </w:pPr>
      <w:r>
        <w:rPr>
          <w:rFonts w:ascii="Times New Roman" w:hAnsi="Times New Roman" w:cs="Times New Roman" w:eastAsia="Times New Roman"/>
          <w:b w:val="false"/>
          <w:sz w:val="26"/>
        </w:rPr>
        <w:t>- Trung tâm phục vụ hành chính công của tỉnh hoặc Bộ phận tiếp nhận và trả kết quả của cơ quan chuyên môn về kiến trúc cấp tỉnh kiểm tra tính chính xác, đầy đủ của hồ sơ tiếp nhận;</w:t>
      </w:r>
    </w:p>
    <w:p>
      <w:pPr>
        <w:spacing w:after="0" w:before="0" w:lineRule="auto" w:line="276"/>
        <w:jc w:val="both"/>
      </w:pPr>
      <w:r>
        <w:rPr>
          <w:rFonts w:ascii="Times New Roman" w:hAnsi="Times New Roman" w:cs="Times New Roman" w:eastAsia="Times New Roman"/>
          <w:b w:val="false"/>
          <w:sz w:val="26"/>
        </w:rPr>
        <w:t>- Trong thời hạn 05 ngày kể từ ngày tiếp nhận cơ quan có thẩm quyền cấp chứng chỉ hành nghề kiến trúc thông báo một lần bằng văn bản tới cá nhân đối với trường hợp hồ sơ thiếu hoặc không hợp lệ;</w:t>
      </w:r>
    </w:p>
    <w:p>
      <w:pPr>
        <w:spacing w:after="0" w:before="0" w:lineRule="auto" w:line="276"/>
        <w:jc w:val="both"/>
      </w:pPr>
      <w:r>
        <w:rPr>
          <w:rFonts w:ascii="Times New Roman" w:hAnsi="Times New Roman" w:cs="Times New Roman" w:eastAsia="Times New Roman"/>
          <w:b w:val="false"/>
          <w:sz w:val="26"/>
        </w:rPr>
        <w:t>- Trong thời hạn 15 ngày kể từ ngày nhận đủ hồ sơ hợp lệ, cơ quan thẩm quyền có trách nhiệm cấp chứng chỉ hành nghề kiến trúc;</w:t>
      </w:r>
    </w:p>
    <w:p>
      <w:pPr>
        <w:spacing w:after="0" w:before="0" w:lineRule="auto" w:line="276"/>
        <w:jc w:val="both"/>
      </w:pPr>
      <w:r>
        <w:rPr>
          <w:rFonts w:ascii="Times New Roman" w:hAnsi="Times New Roman" w:cs="Times New Roman" w:eastAsia="Times New Roman"/>
          <w:b w:val="false"/>
          <w:sz w:val="26"/>
        </w:rPr>
        <w:t>- Cá nhân đăng ký nhận chứng chỉ hành nghề kiến trúc qua dịch vụ bưu chính hoặc trực tiếp tại địa điểm nộp hồ sơ.</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15 Ngày</w:t>
            </w:r>
          </w:p>
        </w:tc>
        <w:tc>
          <w:p/>
          <w:p>
            <w:pPr>
              <w:spacing w:after="0" w:before="0" w:lineRule="auto" w:line="276"/>
              <w:jc w:val="left"/>
            </w:pPr>
            <w:r>
              <w:rPr>
                <w:rFonts w:ascii="Times New Roman" w:hAnsi="Times New Roman" w:cs="Times New Roman" w:eastAsia="Times New Roman"/>
                <w:b w:val="false"/>
                <w:sz w:val="26"/>
              </w:rPr>
              <w:t>Phí :  Đồng</w:t>
              <w:t xml:space="preserve"> (Theo quy định cụ thể của Bộ Tài chính.)</w:t>
            </w:r>
          </w:p>
        </w:tc>
        <w:tc>
          <w:p/>
          <w:p>
            <w:pPr>
              <w:spacing w:after="0" w:before="0" w:lineRule="auto" w:line="276"/>
              <w:jc w:val="left"/>
            </w:pPr>
            <w:r>
              <w:rPr>
                <w:rFonts w:ascii="Times New Roman" w:hAnsi="Times New Roman" w:cs="Times New Roman" w:eastAsia="Times New Roman"/>
                <w:b w:val="false"/>
                <w:sz w:val="26"/>
              </w:rPr>
              <w:t>15 ngày kể từ ngày nhận đủ hồ sơ hợp lệ.</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15 Ngày</w:t>
            </w:r>
          </w:p>
        </w:tc>
        <w:tc>
          <w:p/>
          <w:p>
            <w:pPr>
              <w:spacing w:after="0" w:before="0" w:lineRule="auto" w:line="276"/>
              <w:jc w:val="left"/>
            </w:pPr>
            <w:r>
              <w:rPr>
                <w:rFonts w:ascii="Times New Roman" w:hAnsi="Times New Roman" w:cs="Times New Roman" w:eastAsia="Times New Roman"/>
                <w:b w:val="false"/>
                <w:sz w:val="26"/>
              </w:rPr>
              <w:t>Phí :  Đồng</w:t>
              <w:t xml:space="preserve"> (Theo quy định cụ thể của Bộ Tài chính.)</w:t>
            </w:r>
          </w:p>
        </w:tc>
        <w:tc>
          <w:p/>
          <w:p>
            <w:pPr>
              <w:spacing w:after="0" w:before="0" w:lineRule="auto" w:line="276"/>
              <w:jc w:val="left"/>
            </w:pPr>
            <w:r>
              <w:rPr>
                <w:rFonts w:ascii="Times New Roman" w:hAnsi="Times New Roman" w:cs="Times New Roman" w:eastAsia="Times New Roman"/>
                <w:b w:val="false"/>
                <w:sz w:val="26"/>
              </w:rPr>
              <w:t>15 ngày kể từ ngày nhận đủ hồ sơ hợp lệ.</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15 Ngày</w:t>
            </w:r>
          </w:p>
        </w:tc>
        <w:tc>
          <w:p/>
          <w:p>
            <w:pPr>
              <w:spacing w:after="0" w:before="0" w:lineRule="auto" w:line="276"/>
              <w:jc w:val="left"/>
            </w:pPr>
            <w:r>
              <w:rPr>
                <w:rFonts w:ascii="Times New Roman" w:hAnsi="Times New Roman" w:cs="Times New Roman" w:eastAsia="Times New Roman"/>
                <w:b w:val="false"/>
                <w:sz w:val="26"/>
              </w:rPr>
              <w:t>Phí :  Đồng</w:t>
              <w:t xml:space="preserve"> (Theo quy định cụ thể của Bộ Tài chính.)</w:t>
            </w:r>
          </w:p>
        </w:tc>
        <w:tc>
          <w:p/>
          <w:p>
            <w:pPr>
              <w:spacing w:after="0" w:before="0" w:lineRule="auto" w:line="276"/>
              <w:jc w:val="left"/>
            </w:pPr>
            <w:r>
              <w:rPr>
                <w:rFonts w:ascii="Times New Roman" w:hAnsi="Times New Roman" w:cs="Times New Roman" w:eastAsia="Times New Roman"/>
                <w:b w:val="false"/>
                <w:sz w:val="26"/>
              </w:rPr>
              <w:t>15 ngày kể từ ngày nhận đủ hồ sơ hợp lệ.</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Đơn đề nghị cấp chứng chỉ hành nghề theo mẫu số 02 Phụ lục III của Nghị định số 85/2020/NĐ-CP ngày 17/7/2020 của Chính phủ quy định chi tiết một số điều của Luật Kiến trúc;</w:t>
            </w:r>
          </w:p>
        </w:tc>
        <w:tc>
          <w:p/>
          <w:p>
            <w:pPr>
              <w:spacing w:after="0" w:before="0" w:lineRule="auto" w:line="276"/>
              <w:jc w:val="left"/>
            </w:pPr>
            <w:r>
              <w:rPr>
                <w:rFonts w:ascii="Times New Roman" w:hAnsi="Times New Roman" w:cs="Times New Roman" w:eastAsia="Times New Roman"/>
                <w:b w:val="false"/>
                <w:sz w:val="26"/>
              </w:rPr>
              <w:t>Don de nghi cap chung chi hanh nghe kien truc.docx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- 02 ảnh màu nền trắng cỡ 4 x 6 cm được chụp không quá 06 tháng;</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 Bằng đại học phù hợp với nội dung chứng chỉ đề nghị cấp; đối với văn bằng do cơ sở đào tạo nước ngoài cấp, phải có bản dịch sang tiếng Việt, được công chứng, chứng thực theo quy định của pháp luật Việt Nam;</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 Các quyết định phân công công việc (giao nhiệm vụ) của tổ chức cho cá nhân hoặc văn bản được xác nhận của đại diện theo pháp luật của chủ đầu tư về các công việc cá nhân đã hoàn thành theo nội dung kê khai;</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 Hợp đồng và biên bản nghiệm thu các công việc theo kê khai (trường hợp cá nhân hành nghề độc lập);</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 Giấy tờ hợp pháp về cư trú hoặc giấy phép lao động do cơ quan có thẩm quyền của Việt Nam cấp đối với trường hợp cá nhân là người nước ngoài;</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 Kết quả sát hạch đạt yêu cầu còn hiệu lực;</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 Ngoại trừ đơn đề nghị, các văn bằng, tài liệu khác phải là bản sao có chứng thực hoặc tệp tin chứa ảnh màu chụp từ bản chính hoặc bản sao, xuất trình bản chính để đối chiếu.</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Việt Nam định cư ở nước ngoài, Người nước ngoài, Cán bộ, công chức, viên chức</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Người đứng đầu cơ quan chuyên môn thuộc Ủy ban nhân dân cấp tỉnh</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Người đứng đầu cơ quan chuyên môn thuộc Ủy ban nhân dân cấp tỉnh</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Trung tâm phục vụ hành chính công hoặc Bộ phận tiếp nhận và trả kết quả của cơ quan chuyên môn về kiến trúc cấp tỉnh</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Chứng chỉ HNKT</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40/2019/QH14</w:t>
            </w:r>
          </w:p>
        </w:tc>
        <w:tc>
          <w:p/>
          <w:p>
            <w:pPr>
              <w:spacing w:after="0" w:before="0" w:lineRule="auto" w:line="276"/>
              <w:jc w:val="left"/>
            </w:pPr>
            <w:r>
              <w:rPr>
                <w:rFonts w:ascii="Times New Roman" w:hAnsi="Times New Roman" w:cs="Times New Roman" w:eastAsia="Times New Roman"/>
                <w:b w:val="false"/>
                <w:sz w:val="26"/>
              </w:rPr>
              <w:t>Luật 40/2019/QH14</w:t>
            </w:r>
          </w:p>
        </w:tc>
        <w:tc>
          <w:p/>
          <w:p>
            <w:pPr>
              <w:spacing w:after="0" w:before="0" w:lineRule="auto" w:line="276"/>
              <w:jc w:val="left"/>
            </w:pPr>
            <w:r>
              <w:rPr>
                <w:rFonts w:ascii="Times New Roman" w:hAnsi="Times New Roman" w:cs="Times New Roman" w:eastAsia="Times New Roman"/>
                <w:b w:val="false"/>
                <w:sz w:val="26"/>
              </w:rPr>
              <w:t>13-06-2019</w:t>
            </w:r>
          </w:p>
        </w:tc>
        <w:tc>
          <w:p/>
        </w:tc>
      </w:tr>
      <w:tr>
        <w:tc>
          <w:p/>
          <w:p>
            <w:pPr>
              <w:spacing w:after="0" w:before="0" w:lineRule="auto" w:line="276"/>
              <w:jc w:val="left"/>
            </w:pPr>
            <w:r>
              <w:rPr>
                <w:rFonts w:ascii="Times New Roman" w:hAnsi="Times New Roman" w:cs="Times New Roman" w:eastAsia="Times New Roman"/>
                <w:b w:val="false"/>
                <w:sz w:val="26"/>
              </w:rPr>
              <w:t>85/2020/NĐ-CP</w:t>
            </w:r>
          </w:p>
        </w:tc>
        <w:tc>
          <w:p/>
          <w:p>
            <w:pPr>
              <w:spacing w:after="0" w:before="0" w:lineRule="auto" w:line="276"/>
              <w:jc w:val="left"/>
            </w:pPr>
            <w:r>
              <w:rPr>
                <w:rFonts w:ascii="Times New Roman" w:hAnsi="Times New Roman" w:cs="Times New Roman" w:eastAsia="Times New Roman"/>
                <w:b w:val="false"/>
                <w:sz w:val="26"/>
              </w:rPr>
              <w:t>Nghị định 85/2020/NĐ-CP</w:t>
            </w:r>
          </w:p>
        </w:tc>
        <w:tc>
          <w:p/>
          <w:p>
            <w:pPr>
              <w:spacing w:after="0" w:before="0" w:lineRule="auto" w:line="276"/>
              <w:jc w:val="left"/>
            </w:pPr>
            <w:r>
              <w:rPr>
                <w:rFonts w:ascii="Times New Roman" w:hAnsi="Times New Roman" w:cs="Times New Roman" w:eastAsia="Times New Roman"/>
                <w:b w:val="false"/>
                <w:sz w:val="26"/>
              </w:rPr>
              <w:t>17-07-2020</w:t>
            </w:r>
          </w:p>
        </w:tc>
        <w:tc>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 Có trình độ đại học trở lên trong lĩnh vực kiến trúc;
- Có kinh nghiệm tham gia thực hiện dịch vụ kiến trúc tối thiểu 03 năm tại tổ chức hành nghề kiến trúc hoặc hợp tác với kiến trúc sư hành nghề với tư cách cá nhân (Cá nhân đạt giải thưởng kiến trúc quốc gia hoặc giải thưởng quốc tế được miễn điều này); 
- Đạt yêu cầu sát hạch cấp chứng chỉ hành nghề kiến trúc (Cá nhân có thời gian liên tục từ 10 năm trở lên trực tiếp tham gia quản lý nhà nước về kiến trúc, đào tạo trình độ đại học trở lên về lĩnh vực kiến trúc, hành nghề kiến trúc được miễn điều kiện này).</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2024-03-29T13:14:11Z</dcterms:created>
  <dc:creator>Apache POI</dc:creator>
</cp:coreProperties>
</file>