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1.008936.000.00.00.H56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5104/QĐ-UBND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nhượng Văn phòng Thừa phát lại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Thừa phát lại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Văn phòng Thừa phát lại có nhu cầu chuyển nhượng gửi hồ sơ đến Sở Tư pháp nơi đăng ký hoạt động; 
- Sở Tư pháp trình Ủy ban nhân dân cấp tỉnh xem xét, quyết định cho phép chuyển nhượng Văn phòng Thừa phát lại; trường hợp từ chối phải thông báo bằng văn bản có nêu rõ lý do;
- Ủy ban nhân dân cấp tỉnh xem xét, quyết định cho phép chuyển nhượng; trường hợp từ chối phải thông báo bằng văn bản có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 Trong thời hạn 15 ngày, kể từ ngày nhận đủ hồ sơ hợp lệ, Sở Tư pháp trình Ủy ban nhân dân cấp tỉnh xem xét, quyết định cho phép chuyển nhượng Văn phòng Thừa phát lại; 
- Trong thời hạn 15 ngày, kể từ ngày nhận được hồ sơ trình của Sở Tư pháp, Ủy ban nhân dân cấp tỉnh xem xét, quyết định cho phép chuyển nhượng.</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30 Giờ</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 Trong thời hạn 15 ngày, kể từ ngày nhận đủ hồ sơ hợp lệ, Sở Tư pháp trình Ủy ban nhân dân cấp tỉnh xem xét, quyết định cho phép chuyển nhượng Văn phòng Thừa phát lại;
- Trong thời hạn 15 ngày, kể từ ngày nhận được hồ sơ trình của Sở Tư pháp, Ủy ban nhân dân cấp tỉnh xem xét, quyết định cho phép chuyển nhượng.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 Trong thời hạn 15 ngày, kể từ ngày nhận đủ hồ sơ hợp lệ, Sở Tư pháp trình Ủy ban nhân dân cấp tỉnh xem xét, quyết định cho phép chuyển nhượng Văn phòng Thừa phát lại; 
- Trong thời hạn 15 ngày, kể từ ngày nhận được hồ sơ trình của Sở Tư pháp, Ủy ban nhân dân cấp tỉnh xem xét, quyết định cho phép chuyển nhượng.</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Hợp đồng chuyển nhượng Văn phòng Thừa phát lại có công chứng theo mẫu do Bộ trưởng Bộ Tư pháp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kiểm kê hồ sơ nghiệp vụ của Văn phòng được chuyển nhượng;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có chứng thực hoặc bản chụp kèm bản chính Quyết định bổ nhiệm, bổ nhiệm lại Thừa phát lại của các Thừa phát lại nhận chuyển nhượng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đề nghị chuyển nhượng Văn phòng Thừa phát lại theo mẫu do Bộ trưởng Bộ Tư pháp quy định;</w:t>
            </w:r>
          </w:p>
        </w:tc>
        <w:tc>
          <w:p/>
          <w:p>
            <w:pPr>
              <w:spacing w:after="0" w:before="0" w:lineRule="auto" w:line="276"/>
              <w:jc w:val="left"/>
            </w:pPr>
            <w:r>
              <w:rPr>
                <w:rFonts w:ascii="Times New Roman" w:hAnsi="Times New Roman" w:cs="Times New Roman" w:eastAsia="Times New Roman"/>
                <w:b w:val="false"/>
                <w:sz w:val="26"/>
              </w:rPr>
              <w:t>TPL-27.docx</w:t>
            </w:r>
          </w:p>
          <w:p>
            <w:pPr>
              <w:spacing w:after="0" w:before="0" w:lineRule="auto" w:line="276"/>
              <w:jc w:val="left"/>
            </w:pPr>
            <w:r>
              <w:rPr>
                <w:rFonts w:ascii="Times New Roman" w:hAnsi="Times New Roman" w:cs="Times New Roman" w:eastAsia="Times New Roman"/>
                <w:b w:val="false"/>
                <w:sz w:val="26"/>
              </w:rPr>
              <w:t>TPL-28.docx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chính Quyết định cho phép thành lập và Giấy đăng ký hoạt động của Văn phòng Thừa phát lại được chuyển nhượng;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kê khai thuế, báo cáo tài chính trong 02 năm gần nhất đã được kiểm toán của Văn phòng được chuyển nhượng;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cam kết của Thừa phát lại nhận chuyển nhượng với nội dung quy định tại điểm a, b khoản 2 Điều 28 của Nghị định số 08/2020/NĐ-CP.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 tỉnh Sơn La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chuyển nhượng Văn phòng thừa phát lại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08/2020/NĐ-CP</w:t>
            </w:r>
          </w:p>
        </w:tc>
        <w:tc>
          <w:p/>
          <w:p>
            <w:pPr>
              <w:spacing w:after="0" w:before="0" w:lineRule="auto" w:line="276"/>
              <w:jc w:val="left"/>
            </w:pPr>
            <w:r>
              <w:rPr>
                <w:rFonts w:ascii="Times New Roman" w:hAnsi="Times New Roman" w:cs="Times New Roman" w:eastAsia="Times New Roman"/>
                <w:b w:val="false"/>
                <w:sz w:val="26"/>
              </w:rPr>
              <w:t>Nghị định 08/2020/NĐ-CP</w:t>
            </w:r>
          </w:p>
        </w:tc>
        <w:tc>
          <w:p/>
          <w:p>
            <w:pPr>
              <w:spacing w:after="0" w:before="0" w:lineRule="auto" w:line="276"/>
              <w:jc w:val="left"/>
            </w:pPr>
            <w:r>
              <w:rPr>
                <w:rFonts w:ascii="Times New Roman" w:hAnsi="Times New Roman" w:cs="Times New Roman" w:eastAsia="Times New Roman"/>
                <w:b w:val="false"/>
                <w:sz w:val="26"/>
              </w:rPr>
              <w:t>08-01-2020</w:t>
            </w:r>
          </w:p>
        </w:tc>
        <w:tc>
          <w:p/>
        </w:tc>
      </w:tr>
      <w:tr>
        <w:tc>
          <w:p/>
          <w:p>
            <w:pPr>
              <w:spacing w:after="0" w:before="0" w:lineRule="auto" w:line="276"/>
              <w:jc w:val="left"/>
            </w:pPr>
            <w:r>
              <w:rPr>
                <w:rFonts w:ascii="Times New Roman" w:hAnsi="Times New Roman" w:cs="Times New Roman" w:eastAsia="Times New Roman"/>
                <w:b w:val="false"/>
                <w:sz w:val="26"/>
              </w:rPr>
              <w:t>05/2020/TT-BTP</w:t>
            </w:r>
          </w:p>
        </w:tc>
        <w:tc>
          <w:p/>
          <w:p>
            <w:pPr>
              <w:spacing w:after="0" w:before="0" w:lineRule="auto" w:line="276"/>
              <w:jc w:val="left"/>
            </w:pPr>
            <w:r>
              <w:rPr>
                <w:rFonts w:ascii="Times New Roman" w:hAnsi="Times New Roman" w:cs="Times New Roman" w:eastAsia="Times New Roman"/>
                <w:b w:val="false"/>
                <w:sz w:val="26"/>
              </w:rPr>
              <w:t>Thông tư 05/2020/TT-BTP</w:t>
            </w:r>
          </w:p>
        </w:tc>
        <w:tc>
          <w:p/>
          <w:p>
            <w:pPr>
              <w:spacing w:after="0" w:before="0" w:lineRule="auto" w:line="276"/>
              <w:jc w:val="left"/>
            </w:pPr>
            <w:r>
              <w:rPr>
                <w:rFonts w:ascii="Times New Roman" w:hAnsi="Times New Roman" w:cs="Times New Roman" w:eastAsia="Times New Roman"/>
                <w:b w:val="false"/>
                <w:sz w:val="26"/>
              </w:rPr>
              <w:t>28-08-2020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Văn phòng Thừa phát lại chỉ được chuyển nhượng khi đã hoạt động được ít nhất 02 năm, kể từ ngày được cấp Giấy đăng ký hoạt động;
- Thừa phát lại nhận chuyển nhượng Văn phòng Thừa phát lại phải đáp ứng các điều kiện sau đây:
+ Cam kết hành nghề ít nhất 02 năm tại Văn phòng Thừa phát lại mà mình nhận chuyển nhượng, kế thừa quyền và nghĩa vụ của Văn phòng Thừa phát lại mà mình nhận chuyển nhượng;
+ Cam kết tiếp tục thực hiện đầy đủ các công việc theo hợp đồng, thỏa thuận giữa Văn phòng Thừa phát lại mà mình nhận chuyển nhượng với người yêu cầu, các cơ quan theo quy định của Nghị định số 08/2020/NĐ-CP;
+ Không thuộc trường hợp đang bị tạm đình chỉ hành nghề Thừa phát lại quy định tại khoản 1 Điều 12 của Nghị định số 08/2020/NĐ-CP tại thời điểm nhận chuyển nhượng.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2024-03-29T00:58:47Z</dcterms:created>
  <dc:creator>Apache POI</dc:creator>
</cp:coreProperties>
</file>