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1.009748.000.00.00.H56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chấp thuận chủ trương đầu tư của Ban Quản lý quy định tại khoản 7 Điều 33 Nghị định số 31/2021/NĐ-CP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hoặc cơ quan nhà nước có thẩm quyền nộp hồ sơ đề nghị chấp thuận chủ trương đầu tư theo quy định tại khoản 1 hoặc khoản 2 Điều 33 của Luật Đầu tư, các khoản 2 và 3 Điều 31 của Nghị định số 31/2021/NĐ-CP cho Ban quản lý.</w:t>
      </w:r>
    </w:p>
    <w:p>
      <w:pPr>
        <w:spacing w:after="0" w:before="0" w:lineRule="auto" w:line="276"/>
        <w:jc w:val="both"/>
      </w:pPr>
      <w:r>
        <w:rPr>
          <w:rFonts w:ascii="Times New Roman" w:hAnsi="Times New Roman" w:cs="Times New Roman" w:eastAsia="Times New Roman"/>
          <w:b w:val="false"/>
          <w:sz w:val="26"/>
        </w:rPr>
        <w:t>- Bước 2: Ban Quản lý gửi hồ sơ lấy ý kiến thẩm định của các cơ quan có liên quan về những nội dung thuộc phạm vi quản lý nhà nước của cơ quan đó quy định tại khoản 6 hoặc khoản 8 Điều 31 Nghị định số 31/2021/NĐ-CP.</w:t>
      </w:r>
    </w:p>
    <w:p>
      <w:pPr>
        <w:spacing w:after="0" w:before="0" w:lineRule="auto" w:line="276"/>
        <w:jc w:val="both"/>
      </w:pPr>
      <w:r>
        <w:rPr>
          <w:rFonts w:ascii="Times New Roman" w:hAnsi="Times New Roman" w:cs="Times New Roman" w:eastAsia="Times New Roman"/>
          <w:b w:val="false"/>
          <w:sz w:val="26"/>
        </w:rPr>
        <w:t>- Bước 3: Cơ quan được lấy ý kiến có ý kiến thẩm định về nội dung thuộc phạm vi quản lý nhà nước của mình, gửi Ban quản lý.</w:t>
      </w:r>
    </w:p>
    <w:p>
      <w:pPr>
        <w:spacing w:after="0" w:before="0" w:lineRule="auto" w:line="276"/>
        <w:jc w:val="both"/>
      </w:pPr>
      <w:r>
        <w:rPr>
          <w:rFonts w:ascii="Times New Roman" w:hAnsi="Times New Roman" w:cs="Times New Roman" w:eastAsia="Times New Roman"/>
          <w:b w:val="false"/>
          <w:sz w:val="26"/>
        </w:rPr>
        <w:t>- Bước 4: Ban quản lý lập báo cáo thẩm định và quyết định chấp thuận chủ trương đầu tư.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19 ngày làm việc, cụ thể:
- Trong thời hạn 03 ngày làm việc kể từ ngày nhận được hồ sơ hợp lệ theo quy định, Ban Quản lý Khu kinh tế Nghi Sơn và các khu công nghiệp trên địa bàn tỉnh Thanh Hóa gửi hồ sơ lấy ý kiến thẩm định của các cơ quan có liên quan về những nội dung thuộc phạm vi quản lý nhà nước của cơ quan đó.
- Trong thời hạn 15 ngày kể từ ngày nhận được đề nghị của Ban Quản lý Khu kinh tế Nghi Sơn và các khu công nghiệp trên địa bàn tỉnh Thanh Hóa, cơ quan được lấy ý kiến có ý kiến thẩm định về nội dung thuộc phạm vi quản lý nhà nước của mình, gửi Ban Quản lý Khu kinh tế Nghi Sơn và các khu công nghiệp trên địa bàn tỉnh Thanh Hóa.
- Trong thời hạn 25 ngày kể từ ngày nhận được hồ sơ hợp lệ dự án đầu tư, Ban Quản lý Khu kinh tế Nghi Sơn và các khu công nghiệp trên địa bàn tỉnh Thanh Hóa lập báo cáo thẩm định và quyết định chấp thuận chủ trương đầu tư.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19 ngày làm việc, cụ thể:
- Trong thời hạn 03 ngày làm việc kể từ ngày nhận được hồ sơ hợp lệ theo quy định, Ban Quản lý Khu kinh tế Nghi Sơn và các khu công nghiệp trên địa bàn tỉnh Thanh Hóa gửi hồ sơ lấy ý kiến thẩm định của các cơ quan có liên quan về những nội dung thuộc phạm vi quản lý nhà nước của cơ quan đó.
- Trong thời hạn 15 ngày kể từ ngày nhận được đề nghị của Ban Quản lý Khu kinh tế Nghi Sơn và các khu công nghiệp trên địa bàn tỉnh Thanh Hóa, cơ quan được lấy ý kiến có ý kiến thẩm định về nội dung thuộc phạm vi quản lý nhà nước của mình, gửi Ban Quản lý Khu kinh tế Nghi Sơn và các khu công nghiệp trên địa bàn tỉnh Thanh Hóa.
- Trong thời hạn 25 ngày kể từ ngày nhận được hồ sơ hợp lệ dự án đầu tư, Ban Quản lý Khu kinh tế Nghi Sơn và các khu công nghiệp trên địa bàn tỉnh Thanh Hóa lập báo cáo thẩm định và quyết định chấp thuận chủ trương đầu tư.
- Qua hệ thống DVC trực tuyến (một phần) tại địa chỉ: https://dichvucong.thanhhoa.gov.vn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19 ngày làm việc, cụ thể:
- Trong thời hạn 03 ngày làm việc kể từ ngày nhận được hồ sơ hợp lệ theo quy định, Ban Quản lý Khu kinh tế Nghi Sơn và các khu công nghiệp trên địa bàn tỉnh Thanh Hóa gửi hồ sơ lấy ý kiến thẩm định của các cơ quan có liên quan về những nội dung thuộc phạm vi quản lý nhà nước của cơ quan đó.
- Trong thời hạn 15 ngày kể từ ngày nhận được đề nghị của Ban Quản lý Khu kinh tế Nghi Sơn và các khu công nghiệp trên địa bàn tỉnh Thanh Hóa, cơ quan được lấy ý kiến có ý kiến thẩm định về nội dung thuộc phạm vi quản lý nhà nước của mình, gửi Ban Quản lý Khu kinh tế Nghi Sơn và các khu công nghiệp trên địa bàn tỉnh Thanh Hóa.
- Trong thời hạn 25 ngày kể từ ngày nhận được hồ sơ hợp lệ dự án đầu tư, Ban Quản lý Khu kinh tế Nghi Sơn và các khu công nghiệp trên địa bàn tỉnh Thanh Hóa lập báo cáo thẩm định và quyết định chấp thuận chủ trương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Hồ sơ đề nghị chấp thuận chủ trương đầu tư dự án đầu tư do cơ quan nhà nước có thẩm quyền lập 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chấp thuận chủ trương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 Trường hợp pháp luật về xây dựng quy định lập báo cáo nghiên cứu tiền khả thi thì cơ quan nhà nước có thẩm quyền được sử dụng báo cáo nghiên cứu tiền khả thi thay cho đề xuất dự án đầu tư</w:t>
            </w:r>
          </w:p>
        </w:tc>
        <w:tc>
          <w:p/>
          <w:p>
            <w:pPr>
              <w:spacing w:after="0" w:before="0" w:lineRule="auto" w:line="276"/>
              <w:jc w:val="left"/>
            </w:pPr>
            <w:r>
              <w:rPr>
                <w:rFonts w:ascii="Times New Roman" w:hAnsi="Times New Roman" w:cs="Times New Roman" w:eastAsia="Times New Roman"/>
                <w:b w:val="false"/>
                <w:sz w:val="26"/>
              </w:rPr>
              <w:t>Mẫu A.I.3.docx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bl>
    <w:p>
      <w:pPr>
        <w:shd w:val="clear" w:color="auto" w:fill="F2F6F9"/>
        <w:spacing w:after="0" w:before="120" w:lineRule="auto" w:line="276"/>
        <w:jc w:val="both"/>
      </w:pPr>
      <w:r>
        <w:rPr>
          <w:rFonts w:ascii="Times New Roman" w:hAnsi="Times New Roman" w:cs="Times New Roman" w:eastAsia="Times New Roman"/>
          <w:b w:val="true"/>
          <w:sz w:val="26"/>
        </w:rPr>
        <w:t>- Hồ sơ đề nghị chấp thuận chủ trương đầu tư dự án đầu tư do nhà đầu tư đề xuất 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thực hiện dự án đầu tư, gồm cả cam kết chịu mọi chi phí, rủi ro nếu dự án không được chấp thuận;</w:t>
            </w:r>
          </w:p>
        </w:tc>
        <w:tc>
          <w:p/>
          <w:p>
            <w:pPr>
              <w:spacing w:after="0" w:before="0" w:lineRule="auto" w:line="276"/>
              <w:jc w:val="left"/>
            </w:pPr>
            <w:r>
              <w:rPr>
                <w:rFonts w:ascii="Times New Roman" w:hAnsi="Times New Roman" w:cs="Times New Roman" w:eastAsia="Times New Roman"/>
                <w:b w:val="false"/>
                <w:sz w:val="26"/>
              </w:rPr>
              <w:t>Mẫu A.I.1.docx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Tài liệu về tư cách pháp lý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 Trường hợp pháp luật về xây dựng quy định lập báo cáo nghiên cứu tiền khả thi thì nhà đầu tư được nộp báo cáo nghiên cứu tiền khả thi thay cho đề xuất dự án đầu tư;</w:t>
            </w:r>
          </w:p>
        </w:tc>
        <w:tc>
          <w:p/>
          <w:p>
            <w:pPr>
              <w:spacing w:after="0" w:before="0" w:lineRule="auto" w:line="276"/>
              <w:jc w:val="left"/>
            </w:pPr>
            <w:r>
              <w:rPr>
                <w:rFonts w:ascii="Times New Roman" w:hAnsi="Times New Roman" w:cs="Times New Roman" w:eastAsia="Times New Roman"/>
                <w:b w:val="false"/>
                <w:sz w:val="26"/>
              </w:rPr>
              <w:t>Mẫu A.I.3.docx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Nội dung giải trình về công nghệ sử dụng trong dự án đầu tư đối với dự án thuộc diện thẩm định, lấy ý kiến về công nghệ theo quy định của pháp luật về chuyển giao công nghệ;</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Hợp đồng BCC đối với dự án đầu tư theo hình thức hợp đồng BCC;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Tài liệu khác liên quan đến dự án đầu tư, yêu cầu về điều kiện, năng lực của nhà đầu tư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Ban quản lý Khu kinh tế Nghi Sơn và các Khu công nghiệp tỉnh Thanh Hóa (Phường Trúc Lâm, thị xã Nghi Sơn, tỉnh Thanh Hóa); - Qua hệ thống DVC trực tuyến (một phần) tại địa chỉ: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chấp thuận chủ trương đầu tư của Ủy ban nhân dân cấp tỉnh theo Mẫu A.II.1 ban hành kèm theo Thông tư số 03/2021/TT-BKHĐT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03/2021/TT-BKHĐT</w:t>
            </w:r>
          </w:p>
        </w:tc>
        <w:tc>
          <w:p/>
          <w:p>
            <w:pPr>
              <w:spacing w:after="0" w:before="0" w:lineRule="auto" w:line="276"/>
              <w:jc w:val="left"/>
            </w:pPr>
            <w:r>
              <w:rPr>
                <w:rFonts w:ascii="Times New Roman" w:hAnsi="Times New Roman" w:cs="Times New Roman" w:eastAsia="Times New Roman"/>
                <w:b w:val="false"/>
                <w:sz w:val="26"/>
              </w:rPr>
              <w:t>quy định về mẫu văn bản, báo cáo liên quan đến hoạt động đầu tư tại Việt Nam, đầu tư từ Việt Nam ra nước ngoài và xúc tiến đầu</w:t>
            </w:r>
          </w:p>
        </w:tc>
        <w:tc>
          <w:p/>
          <w:p>
            <w:pPr>
              <w:spacing w:after="0" w:before="0" w:lineRule="auto" w:line="276"/>
              <w:jc w:val="left"/>
            </w:pPr>
            <w:r>
              <w:rPr>
                <w:rFonts w:ascii="Times New Roman" w:hAnsi="Times New Roman" w:cs="Times New Roman" w:eastAsia="Times New Roman"/>
                <w:b w:val="false"/>
                <w:sz w:val="26"/>
              </w:rPr>
              <w:t>09-04-2021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61/2020/QH14</w:t>
            </w:r>
          </w:p>
        </w:tc>
        <w:tc>
          <w:p/>
          <w:p>
            <w:pPr>
              <w:spacing w:after="0" w:before="0" w:lineRule="auto" w:line="276"/>
              <w:jc w:val="left"/>
            </w:pPr>
            <w:r>
              <w:rPr>
                <w:rFonts w:ascii="Times New Roman" w:hAnsi="Times New Roman" w:cs="Times New Roman" w:eastAsia="Times New Roman"/>
                <w:b w:val="false"/>
                <w:sz w:val="26"/>
              </w:rPr>
              <w:t>Luật Đầu tư</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với dự án đầu tư tại khu công nghiệp, khu chế xuất, khu công nghệ cao, khu kinh tế quy định tại khoản 1 Điều 32 của Luật Đầu tư</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chấp thuận chủ trương đầu tư, của Ban Quản lý, quy định, tại khoản 7 Điều 33, Nghị định số 31/2021/NĐ-CP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2024-03-29T05:50:06Z</dcterms:created>
  <dc:creator>Apache POI</dc:creator>
</cp:coreProperties>
</file>