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1.009775.000.00.00.H56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hoạt động đầu tư theo hình thức góp vốn, mua cổ phần, mua phần vốn góp đối với nhà đầu tư nước ngoài (BQL)</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Tổ chức kinh tế có nhà đầu tư nước ngoài đầu tư góp vốn, mua cổ phần, mua phần vốn góp thuộc trường hợp quy định tại khoản 2 Điều 26 Luật Đầu tư nộp 01 bộ hồ sơ đăng ký góp vốn, mua cổ phần, mua phần vốn góp cho Ban Quản lý nơi tổ chức kinh tế đặt trụ sở chính</w:t>
      </w:r>
    </w:p>
    <w:p>
      <w:pPr>
        <w:spacing w:after="0" w:before="0" w:lineRule="auto" w:line="276"/>
        <w:jc w:val="both"/>
      </w:pPr>
      <w:r>
        <w:rPr>
          <w:rFonts w:ascii="Times New Roman" w:hAnsi="Times New Roman" w:cs="Times New Roman" w:eastAsia="Times New Roman"/>
          <w:b w:val="false"/>
          <w:sz w:val="26"/>
        </w:rPr>
        <w:t>- Bước 2: Ban Quản lý xem xét việc đáp ứng điều kiện góp vốn, mua cổ phần, mua phần vốn góp quy định tại khoản 2 Điều 24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theo quy định tại khoản 2 Điều 66 Nghị định số 31/2021/NĐ-CP, Ban Quản lý xem xét việc đáp ứng điều kiện góp vốn, mua cổ phần, mua phần vốn góp quy định tại khoản 2 Điều 24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theo quy định tại khoản 2 Điều 66 Nghị định số 31/2021/NĐ-CP, Ban Quản lý xem xét việc đáp ứng điều kiện góp vốn, mua cổ phần, mua phần vốn góp quy định tại khoản 2 Điều 24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
- Qua hệ thống DVC trực tuyến (toàn trình) tại địa chỉ: https://dichvucong.thanhhoa.gov.vn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theo quy định tại khoản 2 Điều 66 Nghị định số 31/2021/NĐ-CP, Ban Quản lý xem xét việc đáp ứng điều kiện góp vốn, mua cổ phần, mua phần vốn góp quy định tại khoản 2 Điều 24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có nhà đầu tư nước ngoài góp vốn, mua cổ phần, mua phần vốn góp.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kinh tế; giá trị giao dịch dự kiến của hợp đồng góp vốn, mua cổ phần, mua phần vốn góp; thông tin về dự án đầu tư của tổ chức kinh tế (nếu có);</w:t>
            </w:r>
          </w:p>
        </w:tc>
        <w:tc>
          <w:p/>
          <w:p>
            <w:pPr>
              <w:spacing w:after="0" w:before="0" w:lineRule="auto" w:line="276"/>
              <w:jc w:val="left"/>
            </w:pPr>
            <w:r>
              <w:rPr>
                <w:rFonts w:ascii="Times New Roman" w:hAnsi="Times New Roman" w:cs="Times New Roman" w:eastAsia="Times New Roman"/>
                <w:b w:val="false"/>
                <w:sz w:val="26"/>
              </w:rPr>
              <w:t>Mẫu A.I.7.docx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tờ pháp lý của cá nhân, tổ chức góp vốn, mua cổ phần, mua phần vốn góp và tổ chức kinh tế có nhà đầu tư nước ngoài góp vốn, mua cổ phần, mua phần vốn góp;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Văn bản thỏa thuận nguyên tắc về việc góp vốn, mua cổ phần, mua phần vốn góp giữa nhà đầu tư nước ngoài và tổ chức kinh tế có nhà đầu tư nước ngoài góp vốn, mua cổ phần, mua phần vốn góp hoặc giữa nhà đầu tư nước ngoài với cổ đông hoặc thành viên của tổ chức kinh tế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sử dụng đất của tổ chức kinh tế có nhà đầu tư nước ngoài góp vốn, mua cổ phần, mua phần vốn góp (đối với trường hợp quy định tại điểm b khoản 4 Điều 65 Nghị định số 31/2021/NĐ-CP.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nước ngoài, Doanh nghiệp có vốn đầu tư nước ngoài,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Ban quản lý Khu kinh tế Nghi Sơn và các Khu công nghiệp tỉnh Thanh Hóa (Phường Trúc Lâm, thị xã Nghi Sơn, tỉnh Thanh Hóa); - Qua hệ thống DVC trực tuyến (toàn trình) tại địa chỉ: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về việc đáp ứng điều kiện góp vốn, mua cổ phần, mua lại phần vốn góp của nhà đầu tư nước ngoài theo Mẫu A.II.20 ban hành kèm theo Thông tư số 03/2021/TT-BKHĐT.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03/2021/TT-BKHĐT</w:t>
            </w:r>
          </w:p>
        </w:tc>
        <w:tc>
          <w:p/>
          <w:p>
            <w:pPr>
              <w:spacing w:after="0" w:before="0" w:lineRule="auto" w:line="276"/>
              <w:jc w:val="left"/>
            </w:pPr>
            <w:r>
              <w:rPr>
                <w:rFonts w:ascii="Times New Roman" w:hAnsi="Times New Roman" w:cs="Times New Roman" w:eastAsia="Times New Roman"/>
                <w:b w:val="false"/>
                <w:sz w:val="26"/>
              </w:rPr>
              <w:t>quy định về mẫu văn bản, báo cáo liên quan đến hoạt động đầu tư tại Việt Nam, đầu tư từ Việt Nam ra nước ngoài và xúc tiến đầu</w:t>
            </w:r>
          </w:p>
        </w:tc>
        <w:tc>
          <w:p/>
          <w:p>
            <w:pPr>
              <w:spacing w:after="0" w:before="0" w:lineRule="auto" w:line="276"/>
              <w:jc w:val="left"/>
            </w:pPr>
            <w:r>
              <w:rPr>
                <w:rFonts w:ascii="Times New Roman" w:hAnsi="Times New Roman" w:cs="Times New Roman" w:eastAsia="Times New Roman"/>
                <w:b w:val="false"/>
                <w:sz w:val="26"/>
              </w:rPr>
              <w:t>09-04-2021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61/2020/QH14</w:t>
            </w:r>
          </w:p>
        </w:tc>
        <w:tc>
          <w:p/>
          <w:p>
            <w:pPr>
              <w:spacing w:after="0" w:before="0" w:lineRule="auto" w:line="276"/>
              <w:jc w:val="left"/>
            </w:pPr>
            <w:r>
              <w:rPr>
                <w:rFonts w:ascii="Times New Roman" w:hAnsi="Times New Roman" w:cs="Times New Roman" w:eastAsia="Times New Roman"/>
                <w:b w:val="false"/>
                <w:sz w:val="26"/>
              </w:rPr>
              <w:t>Luật Đầu tư</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góp vốn, mua cổ phần, mua phần vốn góp làm tăng tỷ lệ sở hữu của các nhà đầu tư nước ngoài tại tổ chức kinh tế kinh doanh ngành, nghề tiếp cận thị trường có điều kiện đối với nhà đầu tư nước ngoài;
- Việc góp vốn, mua cổ phần, mua phần vốn góp dẫn đến việc nhà đầu tư nước ngoài, tổ chức kinh tế quy định tại các điểm a, b và c khoản 1 Điều 23 của Luật Đầu tư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
-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thực hiện hoạt động đầu tư, theo hình thức góp vốn, mua cổ phần, mua phần vốn góp đối với, nhà đầu tư nước ngoài</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2024-03-29T10:49:08Z</dcterms:created>
  <dc:creator>Apache POI</dc:creator>
</cp:coreProperties>
</file>