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1.009986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1105/QĐ-BXD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điều chỉnh, bổ sung nội dung chứng chỉ hành nghề hoạt động xây dựng hạng II, hạng III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Hoạt động xây dựng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Cá nhân nộp trực tiếp hoặc qua dịch vụ bưu chính hoặc trực tuyến 01 bộ hồ sơ đề nghị cấp lại cấp điều chỉnh, bổ sung nội dung chứng chỉ hành nghề hoạt động xây dựng cho Trung tâm phục vụ hành chính công tỉnh hoặc Bộ phận tiếp nhận và trả kết quả giải quyết TTHC của Sở Xây dựng hoặc Tổ chức xã hội nghề nghiệp đủ điều kiện mà mình là hội viên.</w:t>
      </w:r>
    </w:p>
    <w:p>
      <w:pPr>
        <w:spacing w:after="0" w:before="0" w:lineRule="auto" w:line="276"/>
        <w:jc w:val="both"/>
      </w:pPr>
      <w:r>
        <w:rPr>
          <w:rFonts w:ascii="Times New Roman" w:hAnsi="Times New Roman" w:cs="Times New Roman" w:eastAsia="Times New Roman"/>
          <w:b w:val="false"/>
          <w:sz w:val="26"/>
        </w:rPr>
        <w:t>- Trong thời hạn 05 ngày làm việc kể từ ngày tiếp nhận hồ sơ đề nghị, trường hợp hồ sơ không đầy đủ hoặc không hợp lệ, Sở Xây dựng hoặc Tổ chức xã hội nghề nghiệp đủ điều kiện phải thông báo một lần bằng văn bản tới cá nhân đề nghị cấp chứng chỉ hành nghề hoạt động xây dựng.</w:t>
      </w:r>
    </w:p>
    <w:p>
      <w:pPr>
        <w:spacing w:after="0" w:before="0" w:lineRule="auto" w:line="276"/>
        <w:jc w:val="both"/>
      </w:pPr>
      <w:r>
        <w:rPr>
          <w:rFonts w:ascii="Times New Roman" w:hAnsi="Times New Roman" w:cs="Times New Roman" w:eastAsia="Times New Roman"/>
          <w:b w:val="false"/>
          <w:sz w:val="26"/>
        </w:rPr>
        <w:t>- Trong thời hạn 10 ngày, kể từ ngày nhận đủ hồ sơ hợp lệ, Sở Xây dựng hoặc Tổ chức xã hội nghề nghiệp đủ điều kiện có trách nhiệm cấp lại chứng chỉ hành nghề hoạt động xây dựng.</w:t>
      </w:r>
    </w:p>
    <w:p>
      <w:pPr>
        <w:spacing w:after="0" w:before="0" w:lineRule="auto" w:line="276"/>
        <w:jc w:val="both"/>
      </w:pPr>
      <w:r>
        <w:rPr>
          <w:rFonts w:ascii="Times New Roman" w:hAnsi="Times New Roman" w:cs="Times New Roman" w:eastAsia="Times New Roman"/>
          <w:b w:val="false"/>
          <w:sz w:val="26"/>
        </w:rPr>
        <w:t>- Trong thời hạn 05 ngày làm việc kể từ ngày cấp chứng chỉ, cơ quan có thẩm quyền cấp chứng chỉ có trách nhiệm đăng tải thông tin về tổ chức lên trang thông tin điện tử do mình quản lý, đồng thời gửi thông tin đến cơ quan chuyên môn về xây dựng thuộc Bộ Xây dựng để tích hợp trên trang thông tin điện tử của Bộ Xây dựng. Trong thời hạn 03 ngày làm việc, kể từ ngày nhận được thông tin của cơ quan có thẩm quyền cấp chứng chỉ cơ quan chuyên môn về xây dựng thuộc Bộ Xây dựng thực hiện tích hợp trên trang Thông tin điện tử của Bộ Xây dựng.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t>Phí :  Đồng</w:t>
              <w:t xml:space="preserve"> (Theo quy định của Bộ Tài chính và bộ Xây dựng)</w:t>
            </w:r>
          </w:p>
        </w:tc>
        <w:tc>
          <w:p/>
          <w:p>
            <w:pPr>
              <w:spacing w:after="0" w:before="0" w:lineRule="auto" w:line="276"/>
              <w:jc w:val="left"/>
            </w:pPr>
            <w:r>
              <w:rPr>
                <w:rFonts w:ascii="Times New Roman" w:hAnsi="Times New Roman" w:cs="Times New Roman" w:eastAsia="Times New Roman"/>
                <w:b w:val="false"/>
                <w:sz w:val="26"/>
              </w:rPr>
              <w:t>20 ngày đối với trường hợp cấp điều chỉnh, bổ sung nội dung chứng chỉ hành nghề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t>Phí :  Đồng</w:t>
              <w:t xml:space="preserve"> (Theo quy định của Bộ Tài chính và bộ Xây dựng)</w:t>
            </w:r>
          </w:p>
        </w:tc>
        <w:tc>
          <w:p/>
          <w:p>
            <w:pPr>
              <w:spacing w:after="0" w:before="0" w:lineRule="auto" w:line="276"/>
              <w:jc w:val="left"/>
            </w:pPr>
            <w:r>
              <w:rPr>
                <w:rFonts w:ascii="Times New Roman" w:hAnsi="Times New Roman" w:cs="Times New Roman" w:eastAsia="Times New Roman"/>
                <w:b w:val="false"/>
                <w:sz w:val="26"/>
              </w:rPr>
              <w:t>20 ngày đối với trường hợp cấp điều chỉnh, bổ sung nội dung chứng chỉ hành nghề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t>Phí :  Đồng</w:t>
              <w:t xml:space="preserve"> (Theo quy định của Bộ Tài chính và bộ Xây dựng)</w:t>
            </w:r>
          </w:p>
        </w:tc>
        <w:tc>
          <w:p/>
          <w:p>
            <w:pPr>
              <w:spacing w:after="0" w:before="0" w:lineRule="auto" w:line="276"/>
              <w:jc w:val="left"/>
            </w:pPr>
            <w:r>
              <w:rPr>
                <w:rFonts w:ascii="Times New Roman" w:hAnsi="Times New Roman" w:cs="Times New Roman" w:eastAsia="Times New Roman"/>
                <w:b w:val="false"/>
                <w:sz w:val="26"/>
              </w:rPr>
              <w:t>20 ngày đối với trường hợp cấp điều chỉnh, bổ sung nội dung chứng chỉ hành nghề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điều chỉnh, bổ sung nội dung chứng chỉ hành nghề hoạt động xây dựng theo Mẫu số 1 Phụ lục số IV Nghị định số 15/2021/NĐ-CP ngày 03/3/2021 của Chính phủ.</w:t>
            </w:r>
          </w:p>
        </w:tc>
        <w:tc>
          <w:p/>
          <w:p>
            <w:pPr>
              <w:spacing w:after="0" w:before="0" w:lineRule="auto" w:line="276"/>
              <w:jc w:val="left"/>
            </w:pPr>
            <w:r>
              <w:rPr>
                <w:rFonts w:ascii="Times New Roman" w:hAnsi="Times New Roman" w:cs="Times New Roman" w:eastAsia="Times New Roman"/>
                <w:b w:val="false"/>
                <w:sz w:val="26"/>
              </w:rPr>
              <w:t>Don de nghi cap dieu chinh bo sung noi dung  CCHN HDXD hang II, III.docx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- 02 ảnh màu cỡ 4 x 6 cm và tệp tin ảnh có nền màu trắng chân dung của người đề nghị được chụp trong thời gian không quá 06 thán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Các tài liệu liên quan đến nội dung đề nghị điều chỉnh, bổ sung theo quy định tại Khoản 1 Điều 87 Nghị định số 15/2021/NĐ-CP được sửa đổi, bổ sung tại điểm a khoản 29 Điều 12 Nghị định số 35/2023/NĐ-CP.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Xây dựng, Tổ chức xã hội - nghề nghiệp đã được công nhận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Xây dựng, Tổ chức xã hội - nghề nghiệp đã được công nhận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tỉnh hoặc Bộ phận tiếp nhận và trả kết quả giải quyết TTHC của cơ quan chuyên môn về xây dựng cấp tỉnh hoặc Tổ chức xã hội nghề nghiệp đủ điều kiện.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Chứng chỉ hành nghề hoạt động xây dựng được điều chỉnh, bổ sung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50/2014/QH13 </w:t>
            </w:r>
          </w:p>
        </w:tc>
        <w:tc>
          <w:p/>
          <w:p>
            <w:pPr>
              <w:spacing w:after="0" w:before="0" w:lineRule="auto" w:line="276"/>
              <w:jc w:val="left"/>
            </w:pPr>
            <w:r>
              <w:rPr>
                <w:rFonts w:ascii="Times New Roman" w:hAnsi="Times New Roman" w:cs="Times New Roman" w:eastAsia="Times New Roman"/>
                <w:b w:val="false"/>
                <w:sz w:val="26"/>
              </w:rPr>
              <w:t>Luật</w:t>
            </w:r>
          </w:p>
        </w:tc>
        <w:tc>
          <w:p/>
          <w:p>
            <w:pPr>
              <w:spacing w:after="0" w:before="0" w:lineRule="auto" w:line="276"/>
              <w:jc w:val="left"/>
            </w:pPr>
            <w:r>
              <w:rPr>
                <w:rFonts w:ascii="Times New Roman" w:hAnsi="Times New Roman" w:cs="Times New Roman" w:eastAsia="Times New Roman"/>
                <w:b w:val="false"/>
                <w:sz w:val="26"/>
              </w:rPr>
              <w:t>18-06-2014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62/2020/QH14</w:t>
            </w:r>
          </w:p>
        </w:tc>
        <w:tc>
          <w:p/>
          <w:p>
            <w:pPr>
              <w:spacing w:after="0" w:before="0" w:lineRule="auto" w:line="276"/>
              <w:jc w:val="left"/>
            </w:pPr>
            <w:r>
              <w:rPr>
                <w:rFonts w:ascii="Times New Roman" w:hAnsi="Times New Roman" w:cs="Times New Roman" w:eastAsia="Times New Roman"/>
                <w:b w:val="false"/>
                <w:sz w:val="26"/>
              </w:rPr>
              <w:t>Luật 62/2020/QH14</w:t>
            </w:r>
          </w:p>
        </w:tc>
        <w:tc>
          <w:p/>
          <w:p>
            <w:pPr>
              <w:spacing w:after="0" w:before="0" w:lineRule="auto" w:line="276"/>
              <w:jc w:val="left"/>
            </w:pPr>
            <w:r>
              <w:rPr>
                <w:rFonts w:ascii="Times New Roman" w:hAnsi="Times New Roman" w:cs="Times New Roman" w:eastAsia="Times New Roman"/>
                <w:b w:val="false"/>
                <w:sz w:val="26"/>
              </w:rPr>
              <w:t>17-06-2020</w:t>
            </w:r>
          </w:p>
        </w:tc>
        <w:tc>
          <w:p/>
        </w:tc>
      </w:tr>
      <w:tr>
        <w:tc>
          <w:p/>
          <w:p>
            <w:pPr>
              <w:spacing w:after="0" w:before="0" w:lineRule="auto" w:line="276"/>
              <w:jc w:val="left"/>
            </w:pPr>
            <w:r>
              <w:rPr>
                <w:rFonts w:ascii="Times New Roman" w:hAnsi="Times New Roman" w:cs="Times New Roman" w:eastAsia="Times New Roman"/>
                <w:b w:val="false"/>
                <w:sz w:val="26"/>
              </w:rPr>
              <w:t>15/2021/NĐ-CP</w:t>
            </w:r>
          </w:p>
        </w:tc>
        <w:tc>
          <w:p/>
          <w:p>
            <w:pPr>
              <w:spacing w:after="0" w:before="0" w:lineRule="auto" w:line="276"/>
              <w:jc w:val="left"/>
            </w:pPr>
            <w:r>
              <w:rPr>
                <w:rFonts w:ascii="Times New Roman" w:hAnsi="Times New Roman" w:cs="Times New Roman" w:eastAsia="Times New Roman"/>
                <w:b w:val="false"/>
                <w:sz w:val="26"/>
              </w:rPr>
              <w:t>Quản lý dự án đầu tư xây dựng</w:t>
            </w:r>
          </w:p>
        </w:tc>
        <w:tc>
          <w:p/>
          <w:p>
            <w:pPr>
              <w:spacing w:after="0" w:before="0" w:lineRule="auto" w:line="276"/>
              <w:jc w:val="left"/>
            </w:pPr>
            <w:r>
              <w:rPr>
                <w:rFonts w:ascii="Times New Roman" w:hAnsi="Times New Roman" w:cs="Times New Roman" w:eastAsia="Times New Roman"/>
                <w:b w:val="false"/>
                <w:sz w:val="26"/>
              </w:rPr>
              <w:t>03-03-2021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35/2023/NĐ-CP</w:t>
            </w:r>
          </w:p>
        </w:tc>
        <w:tc>
          <w:p/>
          <w:p>
            <w:pPr>
              <w:spacing w:after="0" w:before="0" w:lineRule="auto" w:line="276"/>
              <w:jc w:val="left"/>
            </w:pPr>
            <w:r>
              <w:rPr>
                <w:rFonts w:ascii="Times New Roman" w:hAnsi="Times New Roman" w:cs="Times New Roman" w:eastAsia="Times New Roman"/>
                <w:b w:val="false"/>
                <w:sz w:val="26"/>
              </w:rPr>
              <w:t>Nghị định số 35/2023/NĐ-CP ngày 20/6/2023 của Chính phủ sửa đổi, bổ sung một số điều của các nghị định thuộc lĩnh vực quản lý nhà nước của Bộ Xây dựng</w:t>
            </w:r>
          </w:p>
        </w:tc>
        <w:tc>
          <w:p/>
          <w:p>
            <w:pPr>
              <w:spacing w:after="0" w:before="0" w:lineRule="auto" w:line="276"/>
              <w:jc w:val="left"/>
            </w:pPr>
            <w:r>
              <w:rPr>
                <w:rFonts w:ascii="Times New Roman" w:hAnsi="Times New Roman" w:cs="Times New Roman" w:eastAsia="Times New Roman"/>
                <w:b w:val="false"/>
                <w:sz w:val="26"/>
              </w:rPr>
              <w:t>20-06-2023</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Có đủ năng lực hành vi dân sự theo quy định của pháp luật; có giấy tờ về cư trú hoặc giấy phép lao động tại Việt Nam đối với người nước ngoài và người Việt Nam định cư ở nước ngoài.
- Có trình độ chuyên môn được đào tạo, thời gian và kinh nghiệm tham gia công việc phù hợp với nội dung đề nghị cấp chứng chỉ hành nghề như sau:
+ Hạng II: Có trình độ đại học thuộc chuyên ngành phù hợp, có thời gian kinh nghiệm tham gia công việc phù hợp với nội dung đề nghị cấp chứng chỉ hành nghề từ 04 năm trở lên;
+ 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
- Đồng thời đáp ứng thêm các yêu cầu, điều kiện theo từng loại chứng chỉ cụ thể tại các Điều 67, Điều 68, Điều 69, Điều 70, Điều 71, Điều 72, Điều 73 của Nghị định số 15/2021/NĐ-CP ngày 03/3/2021 của Chính phủ được sửa đổi, bổ sung tại khoản 20, khoản 21, khoản 22 Điều 12 Nghị định số 35/2023/NĐ-CP.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2024-03-29T00:29:13Z</dcterms:created>
  <dc:creator>Apache POI</dc:creator>
</cp:coreProperties>
</file>