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1.010006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133/ 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chuyển quyền sử dụng đất liền kề với nhà ở cũ thuộc sở hữu nhà nước quy định tại khoản 2 Điều 71 Nghị định số 99/2015/NĐ-CP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Nhà ở và công sở</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đề nghị nộp trực tiếp hoặc gửi qua đường bưu điện 01 bộ hồ sơ theo quy định đến đơn vị đang quản lý vận hành nhà ở hoặc đến Sở Xây dựng (do Ủy ban nhân dân cấp tỉnh quyết định);</w:t>
      </w:r>
    </w:p>
    <w:p>
      <w:pPr>
        <w:spacing w:after="0" w:before="0" w:lineRule="auto" w:line="276"/>
        <w:jc w:val="both"/>
      </w:pPr>
      <w:r>
        <w:rPr>
          <w:rFonts w:ascii="Times New Roman" w:hAnsi="Times New Roman" w:cs="Times New Roman" w:eastAsia="Times New Roman"/>
          <w:b w:val="false"/>
          <w:sz w:val="26"/>
        </w:rPr>
        <w:t>- Cơ quan tiếp nhận hồ sơ có trách nhiệm tiếp nhận, kiểm tra hồ sơ và ghi giấy biên nhận hoặc thông báo bằng văn bản cho người nộp hồ sơ biết rõ ngày nhận kết quả. Trường hợp hồ sơ không có đủ các giấy tờ theo quy định thì cơ quan tiếp nhận hướng dẫn ngay (nếu nhận hồ sơ trực tiếp) hoặc trong vòng 03 ngày, kể từ ngày nhận được hồ sơ (nếu nhận qua đường bưu điện) thì phải có văn bản đề nghị người có đơn bổ sung hồ sơ theo quy định</w:t>
      </w:r>
    </w:p>
    <w:p>
      <w:pPr>
        <w:spacing w:after="0" w:before="0" w:lineRule="auto" w:line="276"/>
        <w:jc w:val="both"/>
      </w:pPr>
      <w:r>
        <w:rPr>
          <w:rFonts w:ascii="Times New Roman" w:hAnsi="Times New Roman" w:cs="Times New Roman" w:eastAsia="Times New Roman"/>
          <w:b w:val="false"/>
          <w:sz w:val="26"/>
        </w:rPr>
        <w:t>- Trường hợp cơ quan tiếp nhận là đơn vị quản lý vận hành nhà ở thì trong thời hạn 05 ngày, kể từ ngày nhận được hồ sơ hợp lệ, đơn vị quản lý vận hành nhà ở có trách nhiệm kiểm tra và phải lập danh sách kèm theo hồ sơ để báo cáo Sở Xây dựng;</w:t>
      </w:r>
    </w:p>
    <w:p>
      <w:pPr>
        <w:spacing w:after="0" w:before="0" w:lineRule="auto" w:line="276"/>
        <w:jc w:val="both"/>
      </w:pPr>
      <w:r>
        <w:rPr>
          <w:rFonts w:ascii="Times New Roman" w:hAnsi="Times New Roman" w:cs="Times New Roman" w:eastAsia="Times New Roman"/>
          <w:b w:val="false"/>
          <w:sz w:val="26"/>
        </w:rPr>
        <w:t>- Trong thời hạn 30 ngày, kể từ ngày nhận được hồ sơ báo cáo của đơn vị quản lý vận hành nhà ở, Sở Xây dựng tổ chức họp Hội đồng xác định giá bán nhà ở để tính tiền nhà, tiền sử dụng đất theo quy định và có văn bản báo cáo Ủy ban nhân dân cấp tỉnh xem xét, quyết định;</w:t>
      </w:r>
    </w:p>
    <w:p>
      <w:pPr>
        <w:spacing w:after="0" w:before="0" w:lineRule="auto" w:line="276"/>
        <w:jc w:val="both"/>
      </w:pPr>
      <w:r>
        <w:rPr>
          <w:rFonts w:ascii="Times New Roman" w:hAnsi="Times New Roman" w:cs="Times New Roman" w:eastAsia="Times New Roman"/>
          <w:b w:val="false"/>
          <w:sz w:val="26"/>
        </w:rPr>
        <w:t>- Trong thời hạn 10 ngày, kể từ ngày nhận được báo cáo của Sở Xây dựng, Ủy ban nhân dân cấp tỉnh xem xét, ban hành Quyết định chuyển quyền sử dụng đất liền kề với nhà ở cũ thuộc sở hữu nhà nước cho người đề nghị. Quyết định này được gửi đến Sở Xây dựng và đơn vị quản lý vận hành nhà ở để thông báo cho người đề nghị biết thực hiện các thủ tục tiếp theo.</w:t>
      </w:r>
    </w:p>
    <w:p>
      <w:pPr>
        <w:spacing w:after="0" w:before="0" w:lineRule="auto" w:line="276"/>
        <w:jc w:val="both"/>
      </w:pPr>
      <w:r>
        <w:rPr>
          <w:rFonts w:ascii="Times New Roman" w:hAnsi="Times New Roman" w:cs="Times New Roman" w:eastAsia="Times New Roman"/>
          <w:b w:val="false"/>
          <w:sz w:val="26"/>
        </w:rPr>
        <w:t>- Sau khi người đề nghị nộp nghĩa vụ tài chính theo quy định, cơ quan quản lý nhà ở chuyển hồ sơ đến cơ quan có thẩm quyền để cấp Giấy chứng nhận cho người đề nghị hoặc điều chỉnh vào Giấy chứng nhận đã cấp theo quy định của pháp luật về đất đai.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theo mẫu quy định tại phụ lục ban hành kèm theo Nghị định số 30/2021/NĐ-CP của Chính phủ;</w:t>
            </w:r>
          </w:p>
        </w:tc>
        <w:tc>
          <w:p/>
          <w:p>
            <w:pPr>
              <w:spacing w:after="0" w:before="0" w:lineRule="auto" w:line="276"/>
              <w:jc w:val="left"/>
            </w:pPr>
            <w:r>
              <w:rPr>
                <w:rFonts w:ascii="Times New Roman" w:hAnsi="Times New Roman" w:cs="Times New Roman" w:eastAsia="Times New Roman"/>
                <w:b w:val="false"/>
                <w:sz w:val="26"/>
              </w:rPr>
              <w:t>Don de nghi gq  chuyen quyen SD dat lien ke nha o thuoc SHNN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chứng nhận đối với nhà ở đã mua. Trường hợp chưa có Giấy chứng nhận thì phải có giấy tờ chứng minh đã được thanh lý, hóa giá nhà ở hoặc hợp đồng mua nhà bán ở. Trường hợp thuộc diện đang thuê nhà ở mà có nhu cầu mua nhà và giải quyết phần diện tích đất liền kề thì phải có hợp đồng thuê nhà 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Người đề nghị nộp bản sao và xuất trình bản gốc giấy tờ chứng minh quy định nêu trên để cơ quan tiếp nhận đối chiếu (nếu nộp hồ sơ trực tiếp) hoặc nộp bản sao có công chứng hoặc chứng thực (nếu nộp hồ sơ qua đường bưu điện). Trường hợp cơ sở dữ liệu về dân cư, về đăng ký đầu tư, về doanh nghiệp được kết nối vận hành và công dân đã được cấp số định danh cá nhân thì được sử dụng số định danh cá nhân thay thế cho các giấy tờ liên quan đến nhân thân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chứng minh nhân dân hoặc Thẻ căn cước công dân hoặc hộ chiếu đang còn giá trị hoặc Giấy chứng minh công an nhân dân hoặc Giấy tờ chứng minh thuộc lực lượng quân đội nhân dân theo quy định của Bộ Quốc phòng của người đề nghị mua nhà ở; trường hợp là vợ chồng thì phải có Giấy chứng nhận kết 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Đơn vị đang quản lý vận hành nhà ở hoặc đến Sở Xây dựng (do Ủy ban nhân dân cấp tỉnh quyết định)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chuyển quyền sử dụng đất liền kề với nhà ở cũ thuộc sở hữu NN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30/2021/NĐ-CP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99/2015/NĐ-CP ngày 20 tháng 10 năm 2015 của Chính phủ quy định chi tiết và hướng dẫn thi hành một số điều của Luật Nhà ở ____________</w:t>
            </w:r>
          </w:p>
        </w:tc>
        <w:tc>
          <w:p/>
          <w:p>
            <w:pPr>
              <w:spacing w:after="0" w:before="0" w:lineRule="auto" w:line="276"/>
              <w:jc w:val="left"/>
            </w:pPr>
            <w:r>
              <w:rPr>
                <w:rFonts w:ascii="Times New Roman" w:hAnsi="Times New Roman" w:cs="Times New Roman" w:eastAsia="Times New Roman"/>
                <w:b w:val="false"/>
                <w:sz w:val="26"/>
              </w:rPr>
              <w:t>26-03-2021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2024-03-29T07:24:29Z</dcterms:created>
  <dc:creator>Apache POI</dc:creator>
</cp:coreProperties>
</file>