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2.000333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2238/QĐ-BTP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tổ trưởng tổ hòa giải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Phổ biến giáo dục pháp luật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Trong thời hạn 05 ngày, kể từ ngày tổ chức cuộc họp bầu tổ trưởng tổ hòa giải, Trưởng ban công tác Mặt trận làm văn bản đề nghị công nhận tổ trưởng tổ hòa giải kèm theo biên bản kiểm phiếu hoặc biên bản về kết quả biểu quyết về việc bầu tổ trưởng tổ hòa giải, gửi Chủ tịch Ủy ban nhân dân cấp xã.
Trong thời hạn 05 ngày làm việc, kể từ ngày nhận được văn bản đề nghị công nhận tổ trưởng tổ hòa giải, Chủ tịch Ủy ban nhân dân cấp xã xem xét, quyết định.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công nhận tổ trưởng tổ hòa giải</w:t>
            </w:r>
          </w:p>
        </w:tc>
        <w:tc>
          <w:p/>
          <w:p>
            <w:pPr>
              <w:spacing w:after="0" w:before="0" w:lineRule="auto" w:line="276"/>
              <w:jc w:val="left"/>
            </w:pPr>
            <w:r>
              <w:rPr>
                <w:rFonts w:ascii="Times New Roman" w:hAnsi="Times New Roman" w:cs="Times New Roman" w:eastAsia="Times New Roman"/>
                <w:b w:val="false"/>
                <w:sz w:val="26"/>
              </w:rPr>
              <w:t>mẫu 07.docx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kiểm phiếu hoặc biên bản về kết quả biểu quyết về việc bầu tổ trưởng tổ hòa giải trong trường hợp bầu tổ trưởng tổ hòa giải viên bằng hình thức biểu quyết công khai</w:t>
            </w:r>
          </w:p>
        </w:tc>
        <w:tc>
          <w:p/>
          <w:p>
            <w:pPr>
              <w:spacing w:after="0" w:before="0" w:lineRule="auto" w:line="276"/>
              <w:jc w:val="left"/>
            </w:pPr>
            <w:r>
              <w:rPr>
                <w:rFonts w:ascii="Times New Roman" w:hAnsi="Times New Roman" w:cs="Times New Roman" w:eastAsia="Times New Roman"/>
                <w:b w:val="false"/>
                <w:sz w:val="26"/>
              </w:rPr>
              <w:t>mẫu 04.docx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kiểm phiếu hoặc biên bản về kết quả biểu quyết về việc bầu tổ trưởng tổ hòa giải trong trường hợp bầu tổ trưởng tổ hòa giải viên bằng hình thức bỏ phiếu kín)</w:t>
            </w:r>
          </w:p>
        </w:tc>
        <w:tc>
          <w:p/>
          <w:p>
            <w:pPr>
              <w:spacing w:after="0" w:before="0" w:lineRule="auto" w:line="276"/>
              <w:jc w:val="left"/>
            </w:pPr>
            <w:r>
              <w:rPr>
                <w:rFonts w:ascii="Times New Roman" w:hAnsi="Times New Roman" w:cs="Times New Roman" w:eastAsia="Times New Roman"/>
                <w:b w:val="false"/>
                <w:sz w:val="26"/>
              </w:rPr>
              <w:t>mẫu 05.docx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tổ trưởng tổ hòa giải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01/2014/NQLT/CP-UBTƯMTTQVN</w:t>
            </w:r>
          </w:p>
        </w:tc>
        <w:tc>
          <w:p/>
          <w:p>
            <w:pPr>
              <w:spacing w:after="0" w:before="0" w:lineRule="auto" w:line="276"/>
              <w:jc w:val="left"/>
            </w:pPr>
            <w:r>
              <w:rPr>
                <w:rFonts w:ascii="Times New Roman" w:hAnsi="Times New Roman" w:cs="Times New Roman" w:eastAsia="Times New Roman"/>
                <w:b w:val="false"/>
                <w:sz w:val="26"/>
              </w:rPr>
              <w:t>Nghị quyết liên tịch 01/2014/NQLT/CP-UBTƯMTTQVN</w:t>
            </w:r>
          </w:p>
        </w:tc>
        <w:tc>
          <w:p/>
          <w:p>
            <w:pPr>
              <w:spacing w:after="0" w:before="0" w:lineRule="auto" w:line="276"/>
              <w:jc w:val="left"/>
            </w:pPr>
            <w:r>
              <w:rPr>
                <w:rFonts w:ascii="Times New Roman" w:hAnsi="Times New Roman" w:cs="Times New Roman" w:eastAsia="Times New Roman"/>
                <w:b w:val="false"/>
                <w:sz w:val="26"/>
              </w:rPr>
              <w:t>18-11-2014</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được công nhận là tổ trưởng tổ hòa giải phải đạt trên 50% số hòa giải viên của tổ hòa giải đồng ý và là người có số phiếu bầu cao nhất.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2024-03-29T09:52:31Z</dcterms:created>
  <dc:creator>Apache POI</dc:creator>
</cp:coreProperties>
</file>