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2.000373.000.00.00.H32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2954/QĐ-UBND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hòa giải viên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Phổ biến giáo dục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Trường hợp kết quả bầu hòa giải viên đáp ứng yêu cầu quy định tại Điểm a, Điểm b Khoản 3 Điều 8 của Luật hòa giải ở cơ sở, Trưởng ban công tác Mặt trận lập danh sách người được đề nghị công nhận là hòa giải viên kèm theo biên bản kiểm phiếu hoặc biên bản về kết quả biểu quyết bầu hòa giải viên gửi Chủ tịch Ủy ban nhân dân cấp xã. Trong thời hạn 05 ngày làm việc, kể từ ngày nhận được danh sách người được đề nghị công nhận hòa giải viên, Chủ tịch Ủy ban nhân dân cấp xã xem xét, quyết định;</w:t>
      </w:r>
    </w:p>
    <w:p>
      <w:pPr>
        <w:spacing w:after="0" w:before="0" w:lineRule="auto" w:line="276"/>
        <w:jc w:val="both"/>
      </w:pPr>
      <w:r>
        <w:rPr>
          <w:rFonts w:ascii="Times New Roman" w:hAnsi="Times New Roman" w:cs="Times New Roman" w:eastAsia="Times New Roman"/>
          <w:b w:val="false"/>
          <w:sz w:val="26"/>
        </w:rPr>
        <w:t>- Trường hợp số người được đề nghị công nhận là hòa giải viên lấy theo kết quả bỏ phiếu từ cao xuống thấp nhiều hơn số lượng hòa giải viên được Chủ tịch Ủy ban nhân dân cấp xã quyết định thì Trưởng ban công tác Mặt trận lập danh sách những người được đề nghị công nhận, trong đó bao gồm những người có số phiếu bằng nhau gửi Chủ tịch Ủy ban nhân dân cấp xã xem xét,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rong thời hạn 05 ngày làm việc, kể từ ngày nhận đủ hồ sơ theo quy định.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Danh sách người được đề nghị công nhận là hòa giải viên (Mẫu số 06 tại Phụ lục ban hành kèm theo Nghị quyết liên tịch số 01/2014/NQLT-CP-UBTƯMTTQVN)</w:t>
            </w:r>
          </w:p>
        </w:tc>
        <w:tc>
          <w:p/>
          <w:p>
            <w:pPr>
              <w:spacing w:after="0" w:before="0" w:lineRule="auto" w:line="276"/>
              <w:jc w:val="left"/>
            </w:pPr>
            <w:r>
              <w:rPr>
                <w:rFonts w:ascii="Times New Roman" w:hAnsi="Times New Roman" w:cs="Times New Roman" w:eastAsia="Times New Roman"/>
                <w:b w:val="false"/>
                <w:sz w:val="26"/>
              </w:rPr>
              <w:t>Mẫu số 06.doc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hòa giải viên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01/2014/NQLT/CP-UBTƯMTTQVN</w:t>
            </w:r>
          </w:p>
        </w:tc>
        <w:tc>
          <w:p/>
          <w:p>
            <w:pPr>
              <w:spacing w:after="0" w:before="0" w:lineRule="auto" w:line="276"/>
              <w:jc w:val="left"/>
            </w:pPr>
            <w:r>
              <w:rPr>
                <w:rFonts w:ascii="Times New Roman" w:hAnsi="Times New Roman" w:cs="Times New Roman" w:eastAsia="Times New Roman"/>
                <w:b w:val="false"/>
                <w:sz w:val="26"/>
              </w:rPr>
              <w:t>Nghị quyết liên tịch 01/2014/NQLT/CP-UBTƯMTTQVN</w:t>
            </w:r>
          </w:p>
        </w:tc>
        <w:tc>
          <w:p/>
          <w:p>
            <w:pPr>
              <w:spacing w:after="0" w:before="0" w:lineRule="auto" w:line="276"/>
              <w:jc w:val="left"/>
            </w:pPr>
            <w:r>
              <w:rPr>
                <w:rFonts w:ascii="Times New Roman" w:hAnsi="Times New Roman" w:cs="Times New Roman" w:eastAsia="Times New Roman"/>
                <w:b w:val="false"/>
                <w:sz w:val="26"/>
              </w:rPr>
              <w:t>18-11-2014</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được đề nghị công nhận là hòa giải viên phải đạt trên 50% đại diện hộ gia đình trong thôn, tổ dân phố đồng ý.</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2024-03-28T09:22:04Z</dcterms:created>
  <dc:creator>Apache POI</dc:creator>
</cp:coreProperties>
</file>