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2.000410</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3873/QĐ-BTNMT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Trực tiếp</w:t>
      </w:r>
    </w:p>
    <w:p>
      <w:pPr>
        <w:spacing w:after="0" w:before="0" w:lineRule="auto" w:line="276"/>
        <w:jc w:val="both"/>
      </w:pPr>
      <w:r>
        <w:rPr>
          <w:rFonts w:ascii="Times New Roman" w:hAnsi="Times New Roman" w:cs="Times New Roman" w:eastAsia="Times New Roman"/>
          <w:b w:val="false"/>
          <w:sz w:val="26"/>
        </w:rPr>
        <w:t>(1) Người sử dụng đất nộp hồ sơ tại Văn phòng đăng ký quyền sử dụng đất thuộc Phòng Tài nguyên và Môi trường hoặc cơ quan tiếp nhận hồ sơ theo quy định của Ủy ban nhân dân tỉnh, thành phố trực thuộc Trung ương. 
Hộ gia đình, cá nhân, cộng đồng dân cư nộp hồ sơ tại Ủy ban nhân dân cấp xã nếu có nhu cầu.
Trường hợp thực hiện quyền của người sử dụng đất đối với một phần thửa đất thì người sử dụng đất đề nghị Văn phòng đăng ký quyền sử dụng đất thực hiện đo đạc tách thửa đối với phần diện tích cần thực hiện quyền của người sử dụng đất trước khi nộp hồ sơ thực hiện quyền của người sử dụng đất.
Trường hợp nhận hồ sơ chưa đầy đủ, chưa hợp lệ thì trong thời gian tối đa 03 ngày, cơ quan tiếp nhận, xử lý hồ sơ phải thông báo và hướng dẫn người nộp hồ sơ bổ sung, hoàn chỉnh hồ sơ theo quy định. 
(2) Cơ quan tiếp nhận hồ sơ ghi đầy đủ thông tin vào Sổ tiếp nhận hồ sơ và trả kết quả, trao Phiếu tiếp nhận hồ sơ và trả kết quả cho người nộp hồ sơ.
Trường hợp nộp hồ sơ tại Ủy ban nhân dân cấp xã thì trong thời hạn 03 ngày làm việc kể từ ngày nhận đủ hồ sơ, Ủy ban nhân dân cấp xã phải chuyển hồ sơ đến Văn phòng đăng ký quyền sử dụng đất. 
(3) Văn phòng đăng ký quyền sử dụng đất có trách nhiệm kiểm tra hồ sơ, nếu đủ điều kiện thực hiện các quyền theo quy định thì thực hiện các công việc sau đây:
- Thông báo cho bên chuyển quyền sử dụng đất và niêm yết tại Ủy ban nhân dân cấp xã về việc làm thủ tục cấp Giấy chứng nhận cho người nhận chuyển quyền đối với trường hợp bên nhận chuyển quyền chỉ có Giấy chứng nhận của bên chuyển quyền; gửi văn bản đề nghị xác nhận hộ gia đình, cá nhân trực tiếp sản xuất nông nghiệp đến Ủy ban nhân dân cấp xã nơi đăng ký thường trú, Ủy ban nhân dân cấp xã nơi có đất đối với trường hợp nhận chuyển nhượng, nhận tặng cho quyền sử dụng đất trồng lúa của hộ gia đình, cá nhân;
- Gửi thông tin địa chính đến cơ quan thuế để xác định và thông báo thu nghĩa vụ tài chính đối với trường hợp phải thực hiện nghĩa vụ tài chính theo quy định;
- Xác nhận nội dung biến động vào Giấy chứng nhận đã cấp theo quy định của Bộ Tài nguyên và Môi trường.
Trường hợp phải cấp Giấy chứng nhận thì lập hồ sơ trình cơ quan có thẩm quyền cấp Giấy chứng nhận cho người sử dụng đất.
- Chỉnh lý, cập nhật biến động vào hồ sơ địa chính, cơ sở dữ liệu đất đai.
- Trao Giấy chứng nhận cho người sử dụng đất hoặc gửi Ủy ban nhân dân cấp xã để trao đối với trường hợp nộp hồ sơ tại cấp xã.
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 Văn phòng đăng ký quyền sử dụng đất xác nhận thừa kế vào Giấy chứng nhận đã ký hoặc lập hồ sơ để trình cơ quan có thẩm quyền cấp Giấy chứng nhận quyền sử dụng đất, quyền sở hữu nhà ở và tài sản khác gắn liền với đất cho người được thừa kế theo quy định của Bộ Tài nguyên và Môi trường.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
- Xác nhận vào bản chính giấy tờ việc đã cấp Giấy chứng nhận theo quy định.
(4) Người được cấp Giấy chứng nhận nhận lại bản chính giấy tờ đã được xác nhận cấp Giấy chứng nhận và Giấy chứng nhận.
* Trường hợp người sử dụng đất tặng cho quyền sử dụng đất để xây dựng công trình công cộng thì phải lập văn bản tặng cho quyền sử dụng đất theo quy định.
Sau khi hoàn thành xây dựng công trình công cộng trên đất được tặng cho, Văn phòng đăng ký quyền sử dụng đất căn cứ vào văn bản tặng cho quyền sử dụng đất đã được Ủy ban nhân dân cấp xã xác nhận và hiện trạng sử dụng đất để đo đạc, chỉnh lý biến động vào hồ sơ địa chính, cơ sở dữ liệu đất đai và thông báo cho người sử dụng đất nộp Giấy chứng nhận đã cấp để xác nhận thay đổi. Trường hợp người sử dụng đất tặng cho toàn bộ diện tích đất đã cấp Giấy chứng nhận thì thu hồi Giấy chứng nhận để quản lý.</w:t>
      </w:r>
    </w:p>
    <w:p>
      <w:pPr>
        <w:shd w:val="clear" w:color="auto" w:fill="F2F6F9"/>
        <w:spacing w:after="0" w:before="120" w:lineRule="auto" w:line="276"/>
        <w:jc w:val="both"/>
      </w:pPr>
      <w:r>
        <w:rPr>
          <w:rFonts w:ascii="Times New Roman" w:hAnsi="Times New Roman" w:cs="Times New Roman" w:eastAsia="Times New Roman"/>
          <w:b w:val="true"/>
          <w:sz w:val="26"/>
        </w:rPr>
        <w:t>Thực hiện thủ tục trên môi trường điện tử</w:t>
      </w:r>
    </w:p>
    <w:p>
      <w:pPr>
        <w:spacing w:after="0" w:before="0" w:lineRule="auto" w:line="276"/>
        <w:jc w:val="both"/>
      </w:pPr>
      <w:r>
        <w:rPr>
          <w:rFonts w:ascii="Times New Roman" w:hAnsi="Times New Roman" w:cs="Times New Roman" w:eastAsia="Times New Roman"/>
          <w:b w:val="false"/>
          <w:sz w:val="26"/>
        </w:rPr>
        <w:t>Cơ quan tiếp nhận, giải quyết hồ sơ có trách nhiệm thực hiện các trình tự, thủ tục hành chính về đất đai theo quy định của pháp luật về đất đai; trường hợp cần phải kiểm tra, xác minh làm rõ hoặc do nguyên nhân khác mà không trả kết quả giải quyết hồ sơ theo đúng quy định về thời gian giải quyết thủ tục hành chính về đất đai thì cơ quan tiếp nhận hồ sơ, giải quyết thủ tục gửi thông báo bằng văn bản hoặc qua Cổng dịch vụ công hoặc qua tin nhắn SMS cho người yêu cầu, trong đó nêu rõ lý do.
Người sử dụng đất, chủ sở hữu tài sản gắn liền với đất có trách nhiệm hoàn thành nghĩa vụ tài chính theo quy định của pháp luật bằng hình thức trực tiếp hoặc trực tuyến thông qua chức năng thanh toán của Cổng dịch vụ công.
Cơ quan tiếp nhận hoặc cơ quan giải quyết hồ sơ thông báo cho người yêu cầu thực hiện thủ tục hành chính nộp bản chính Giấy chứng nhận đã cấp, các giấy tờ theo quy định sau khi người sử dụng đất hoàn thành nghĩa vụ tài chính.
	Việc trả kết quả giải quyết thủ tục hành chính được thực hiện tại cơ quan tiếp nhận hồ sơ hoặc qua dịch vụ bưu chính công ích hoặc tại địa điểm theo yêu cầu đối với trường hợp tiếp nhận hồ sơ và trả kết quả giải quyết thủ tục đăng ký đất đai, tài sản khác gắn liền với đất.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(Thực hiện theo quy định của Luật Phí, lệ phí.)</w:t>
            </w:r>
          </w:p>
        </w:tc>
        <w:tc>
          <w:p/>
          <w:p>
            <w:pPr>
              <w:spacing w:after="0" w:before="0" w:lineRule="auto" w:line="276"/>
              <w:jc w:val="left"/>
            </w:pPr>
            <w:r>
              <w:rPr>
                <w:rFonts w:ascii="Times New Roman" w:hAnsi="Times New Roman" w:cs="Times New Roman" w:eastAsia="Times New Roman"/>
                <w:b w:val="false"/>
                <w:sz w:val="26"/>
              </w:rPr>
              <w:t>Cách thức thực hiện:
Người sử dụng đất nộp hồ sơ tại Văn phòng đăng ký quyền sử dụng đất thuộc Phòng Tài nguyên và Môi trường hoặc cơ quan tiếp nhận hồ sơ theo quy định của Ủy ban nhân dân cấp tỉnh hoặc trên môi trường điện tử.
Hộ gia đình, cá nhân, cộng đồng dân cư nộp hồ sơ tại Ủy ban nhân dân cấp xã nếu có nhu cầu.
Thời hạn giải quyết:
Do Ủy ban nhân dân cấp tỉnh quy định. Cụ thể:
- Thời gian thực hiện thủ tục đăng ký biến động quyền sử dụng đất, quyền sở hữu tài sản gắn liền với đất trong trường hợp chuyển đổi, chuyển nhượng, thừa kế, tặng cho, đăng ký góp vốn bằng quyền sử dụng đất, quyền sở hữu tài sản gắn liền với đất là không quá 10 ngày kể từ ngày nhận được hồ sơ hợp lệ;
- Thời gian thực hiện thủ tục đăng ký biến động quyền sử dụng đất, quyền sở hữu tài sản gắn liền với đất trong trường hợp cho thuê, cho thuê lại quyền sử dụng đất là không quá 03 ngày kể từ ngày nhận được hồ sơ hợp lệ;
- Thời gian thực hiện thủ tục đăng ký biến động quyền sử dụng đất, quyền sở hữu tài sản gắn liền với đất trong trường hợp chuyển quyền sử dụng đất, quyền sở hữu tài sản gắn liền với đất của vợ hoặc chồng thành của chung vợ và chồng là không quá 05 ngày kể từ ngày nhận được hồ sơ hợp lệ;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 Kết quả giải quyết thủ tục hành chính phải trả cho người sử dụng đất, chủ sở hữu tài sản gắn liền với đất trong thời hạn không quá 03 ngày làm việc kể từ ngày có kết quả giải quyết.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c.1) Hồ sơ nộp khi thực hiện đăng ký biến động quyền sử dụng đất, quyền sở hữu tài sản gắn liền với đất trong các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Đơn đăng ký biến động đất đai, tài sản gắn liền với đất theo Mẫu số 09/ĐK. Đối với trường hợp hộ gia đình, cá nhân nhận chuyển quyền sử dụng đất nông nghiệp thì phải thể hiện tổng diện tích nhận chuyển quyền tại điểm 4 Mục I của Mẫu số 09/ĐK ban hành kèm theo Thông tư số 33/2017/TT-BTNMT (được sửa đổi, bổ sung tại Thông tư số 14/2023/TT-BTNMT ngày 16 tháng 10 năm 2023) (Lý do biến động) như sau: “Nhận … (ghi hình thức chuyển quyền sử dụng đất) …m2 đất (ghi diện tích đất nhận chuyển quyền); tổng diện tích đất nông nghiệp đang sử dụng do nhận chuyển quyền và đã đăng ký chuyển quyền sử dụng đất từ ngày 01/7/2007 đến trước ngày 01/7/2014 là … m2 và từ ngày 01/7/2014 đến nay là … m2 (ghi cụ thể diện tích nhận chuyển quyền theo từng loại đất, từng địa bàn tỉnh, thành phố trực thuộc Trung ương)”;</w:t>
            </w:r>
          </w:p>
        </w:tc>
        <w:tc>
          <w:p/>
          <w:p>
            <w:pPr>
              <w:spacing w:after="0" w:before="0" w:lineRule="auto" w:line="276"/>
              <w:jc w:val="left"/>
            </w:pPr>
            <w:r>
              <w:rPr>
                <w:rFonts w:ascii="Times New Roman" w:hAnsi="Times New Roman" w:cs="Times New Roman" w:eastAsia="Times New Roman"/>
                <w:b w:val="false"/>
                <w:sz w:val="26"/>
              </w:rPr>
              <w:t>Mau so 09-DK.pdf</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 Trường hợp người thừa kế quyền sử dụng đất, quyền sở hữu tài sản gắn liền với đất là người duy nhất thì phải có đơn đề nghị được đăng ký thừa kế quyền sử dụng đất, quyền sở hữu tài sản gắn liền với đất của người thừa kế;</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Bản gốc Giấy chứng nhận đã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(4)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(5) 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(6) Văn bản của các thành viên trong hộ gia đình sử dụng đất đồng ý chuyển quyền sử dụng đất của hộ gia đình đã được công chứng hoặc chứng thực theo quy định của pháp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(7) Văn bản xác nhận trực tiếp sản xuất nông nghiệp đối với trường hợp nhận chuyển nhượng, tặng cho quyền sử dụng đất trồng lúa.</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c.2) Hồ sơ nộp khi cấp Giấy chứng nhận đối với trường hợp diện tích đất tăng thêm do nhận chuyển nhượng, thừa kế, tặng cho quyền sử dụng đất đã có Giấy chứng nhận trong trường hợp thửa đất gốc đã được cấp Giấy chứng nhận: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Đơn đề nghị cấp lại, cấp đổi Giấy chứng nhận quyền sử dụng đất, quyền sở hữu nhà ở và tài sản khác gắn liền với đất theo Mẫu số 10/ĐK</w:t>
            </w:r>
          </w:p>
        </w:tc>
        <w:tc>
          <w:p/>
          <w:p>
            <w:pPr>
              <w:spacing w:after="0" w:before="0" w:lineRule="auto" w:line="276"/>
              <w:jc w:val="left"/>
            </w:pPr>
            <w:r>
              <w:rPr>
                <w:rFonts w:ascii="Times New Roman" w:hAnsi="Times New Roman" w:cs="Times New Roman" w:eastAsia="Times New Roman"/>
                <w:b w:val="false"/>
                <w:sz w:val="26"/>
              </w:rPr>
              <w:t>Mau so 10-DK.pdf</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Bản gốc Giấy chứng nhận của thửa đất gốc;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Khoản 2 Điều 82 của Nghị định số 43/2014/NĐ-CP thì nộp bản gốc Giấy chứng nhận của bên chuyển quyền sử dụng đất hoặc hợp đồng, văn bản về việc chuyển nhượng, thừa kế, tặng cho quyền sử dụng đất của diện tích đất tăng thêm.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c.3) Hồ sơ nộp khi thực hiện thủ tục xác định lại diện tích đất ở cho hộ gia đình, cá nhân đã được cấp Giấy chứng nhận 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Đơn đăng ký biến động đất đai, tài sản gắn liền với đất theo Mẫu số 09/ĐK</w:t>
            </w:r>
          </w:p>
        </w:tc>
        <w:tc>
          <w:p/>
          <w:p>
            <w:pPr>
              <w:spacing w:after="0" w:before="0" w:lineRule="auto" w:line="276"/>
              <w:jc w:val="left"/>
            </w:pPr>
            <w:r>
              <w:rPr>
                <w:rFonts w:ascii="Times New Roman" w:hAnsi="Times New Roman" w:cs="Times New Roman" w:eastAsia="Times New Roman"/>
                <w:b w:val="false"/>
                <w:sz w:val="26"/>
              </w:rPr>
              <w:t>Mau so 09-DK.pdf</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Bản gốc Giấy chứng nhận đã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c.4) Đối với trường hợp thực hiện thủ tục đăng ký biến động đất đai, tài sản gắn liền với đất tại các khoản c.1, c.2 và c.3 mà có thay đổi thông tin về pháp nhân, số Giấy chứng minh nhân dân, số thẻ Căn cước công dân, số định danh cá nhân, địa chỉ trên Giấy chứng nhận đã cấp thì thực hiện như sau:</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Đối với cá nhân thì cơ quan giải quyết thủ tục có trách nhiệm khai thác, sử dụng thông tin trong Cơ sở dữ liệu quốc gia về dân cư theo quy định tại Điều 14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Đối với tổ chức, cộng đồng dân cư, cơ sở tôn giáo thì nộp bổ sung văn bản của cơ quan có thẩm quyền cho phép hoặc công nhận việc thay đổi thông tin pháp nhân đối với trường hợp thay đổi thông tin về pháp nhân của tổ chức, cơ sở tôn giáo đã ghi trên Giấy chứng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Văn phòng đăng ký quyền sử dụng đất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Văn phòng đăng ký quyền sử dụng đất cấp huyện,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Cơ quan thuế, Kho bạc nhà nước các cấp, Ủy ban nhân dân cấp xã</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quyền sử dụng đất quyền sở hữu nhà ở và tài sản khác gắn liền với đất tài sản khác gắn liền với đất, Ghi vào sổ địa chính và lập hồ sơ để Nhà nước quản lý.</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45/2013/QH13	</w:t>
            </w:r>
          </w:p>
        </w:tc>
        <w:tc>
          <w:p/>
          <w:p>
            <w:pPr>
              <w:spacing w:after="0" w:before="0" w:lineRule="auto" w:line="276"/>
              <w:jc w:val="left"/>
            </w:pPr>
            <w:r>
              <w:rPr>
                <w:rFonts w:ascii="Times New Roman" w:hAnsi="Times New Roman" w:cs="Times New Roman" w:eastAsia="Times New Roman"/>
                <w:b w:val="false"/>
                <w:sz w:val="26"/>
              </w:rPr>
              <w:t>Luật 45/2013/QH13</w:t>
            </w:r>
          </w:p>
        </w:tc>
        <w:tc>
          <w:p/>
          <w:p>
            <w:pPr>
              <w:spacing w:after="0" w:before="0" w:lineRule="auto" w:line="276"/>
              <w:jc w:val="left"/>
            </w:pPr>
            <w:r>
              <w:rPr>
                <w:rFonts w:ascii="Times New Roman" w:hAnsi="Times New Roman" w:cs="Times New Roman" w:eastAsia="Times New Roman"/>
                <w:b w:val="false"/>
                <w:sz w:val="26"/>
              </w:rPr>
              <w:t>29-11-2013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23/2014/TT-BTNMT	</w:t>
            </w:r>
          </w:p>
        </w:tc>
        <w:tc>
          <w:p/>
          <w:p>
            <w:pPr>
              <w:spacing w:after="0" w:before="0" w:lineRule="auto" w:line="276"/>
              <w:jc w:val="left"/>
            </w:pPr>
            <w:r>
              <w:rPr>
                <w:rFonts w:ascii="Times New Roman" w:hAnsi="Times New Roman" w:cs="Times New Roman" w:eastAsia="Times New Roman"/>
                <w:b w:val="false"/>
                <w:sz w:val="26"/>
              </w:rPr>
              <w:t>Thông tư 23/2014/TT-BTNMT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24/2014/TT-BTNMT	</w:t>
            </w:r>
          </w:p>
        </w:tc>
        <w:tc>
          <w:p/>
          <w:p>
            <w:pPr>
              <w:spacing w:after="0" w:before="0" w:lineRule="auto" w:line="276"/>
              <w:jc w:val="left"/>
            </w:pPr>
            <w:r>
              <w:rPr>
                <w:rFonts w:ascii="Times New Roman" w:hAnsi="Times New Roman" w:cs="Times New Roman" w:eastAsia="Times New Roman"/>
                <w:b w:val="false"/>
                <w:sz w:val="26"/>
              </w:rPr>
              <w:t>Thông tư 24/2014/TT-BTNMT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02/2015/TT-BTNMT	</w:t>
            </w:r>
          </w:p>
        </w:tc>
        <w:tc>
          <w:p/>
          <w:p>
            <w:pPr>
              <w:spacing w:after="0" w:before="0" w:lineRule="auto" w:line="276"/>
              <w:jc w:val="left"/>
            </w:pPr>
            <w:r>
              <w:rPr>
                <w:rFonts w:ascii="Times New Roman" w:hAnsi="Times New Roman" w:cs="Times New Roman" w:eastAsia="Times New Roman"/>
                <w:b w:val="false"/>
                <w:sz w:val="26"/>
              </w:rPr>
              <w:t>Thông tư 02/2015/TT-BTNMT</w:t>
            </w:r>
          </w:p>
        </w:tc>
        <w:tc>
          <w:p/>
          <w:p>
            <w:pPr>
              <w:spacing w:after="0" w:before="0" w:lineRule="auto" w:line="276"/>
              <w:jc w:val="left"/>
            </w:pPr>
            <w:r>
              <w:rPr>
                <w:rFonts w:ascii="Times New Roman" w:hAnsi="Times New Roman" w:cs="Times New Roman" w:eastAsia="Times New Roman"/>
                <w:b w:val="false"/>
                <w:sz w:val="26"/>
              </w:rPr>
              <w:t>27-01-2015</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01/2017/NĐ-CP	</w:t>
            </w:r>
          </w:p>
        </w:tc>
        <w:tc>
          <w:p/>
          <w:p>
            <w:pPr>
              <w:spacing w:after="0" w:before="0" w:lineRule="auto" w:line="276"/>
              <w:jc w:val="left"/>
            </w:pPr>
            <w:r>
              <w:rPr>
                <w:rFonts w:ascii="Times New Roman" w:hAnsi="Times New Roman" w:cs="Times New Roman" w:eastAsia="Times New Roman"/>
                <w:b w:val="false"/>
                <w:sz w:val="26"/>
              </w:rPr>
              <w:t>Nghị định 01/2017/NĐ-CP</w:t>
            </w:r>
          </w:p>
        </w:tc>
        <w:tc>
          <w:p/>
          <w:p>
            <w:pPr>
              <w:spacing w:after="0" w:before="0" w:lineRule="auto" w:line="276"/>
              <w:jc w:val="left"/>
            </w:pPr>
            <w:r>
              <w:rPr>
                <w:rFonts w:ascii="Times New Roman" w:hAnsi="Times New Roman" w:cs="Times New Roman" w:eastAsia="Times New Roman"/>
                <w:b w:val="false"/>
                <w:sz w:val="26"/>
              </w:rPr>
              <w:t>06-01-2017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09/2021/TT-BTNMT</w:t>
            </w:r>
          </w:p>
        </w:tc>
        <w:tc>
          <w:p/>
          <w:p>
            <w:pPr>
              <w:spacing w:after="0" w:before="0" w:lineRule="auto" w:line="276"/>
              <w:jc w:val="left"/>
            </w:pPr>
            <w:r>
              <w:rPr>
                <w:rFonts w:ascii="Times New Roman" w:hAnsi="Times New Roman" w:cs="Times New Roman" w:eastAsia="Times New Roman"/>
                <w:b w:val="false"/>
                <w:sz w:val="26"/>
              </w:rPr>
              <w:t>Thông tư 09/2021/TT-BTNMT</w:t>
            </w:r>
          </w:p>
        </w:tc>
        <w:tc>
          <w:p/>
          <w:p>
            <w:pPr>
              <w:spacing w:after="0" w:before="0" w:lineRule="auto" w:line="276"/>
              <w:jc w:val="left"/>
            </w:pPr>
            <w:r>
              <w:rPr>
                <w:rFonts w:ascii="Times New Roman" w:hAnsi="Times New Roman" w:cs="Times New Roman" w:eastAsia="Times New Roman"/>
                <w:b w:val="false"/>
                <w:sz w:val="26"/>
              </w:rPr>
              <w:t>30-06-2021</w:t>
            </w:r>
          </w:p>
        </w:tc>
        <w:tc>
          <w:p/>
        </w:tc>
      </w:tr>
      <w:tr>
        <w:tc>
          <w:p/>
          <w:p>
            <w:pPr>
              <w:spacing w:after="0" w:before="0" w:lineRule="auto" w:line="276"/>
              <w:jc w:val="left"/>
            </w:pPr>
            <w:r>
              <w:rPr>
                <w:rFonts w:ascii="Times New Roman" w:hAnsi="Times New Roman" w:cs="Times New Roman" w:eastAsia="Times New Roman"/>
                <w:b w:val="false"/>
                <w:sz w:val="26"/>
              </w:rPr>
              <w:t>33/2017/TT-BTNMT</w:t>
            </w:r>
          </w:p>
        </w:tc>
        <w:tc>
          <w:p/>
          <w:p>
            <w:pPr>
              <w:spacing w:after="0" w:before="0" w:lineRule="auto" w:line="276"/>
              <w:jc w:val="left"/>
            </w:pPr>
            <w:r>
              <w:rPr>
                <w:rFonts w:ascii="Times New Roman" w:hAnsi="Times New Roman" w:cs="Times New Roman" w:eastAsia="Times New Roman"/>
                <w:b w:val="false"/>
                <w:sz w:val="26"/>
              </w:rPr>
              <w:t>Thông tư 33/2017/TT-BTNMT</w:t>
            </w:r>
          </w:p>
        </w:tc>
        <w:tc>
          <w:p/>
          <w:p>
            <w:pPr>
              <w:spacing w:after="0" w:before="0" w:lineRule="auto" w:line="276"/>
              <w:jc w:val="left"/>
            </w:pPr>
            <w:r>
              <w:rPr>
                <w:rFonts w:ascii="Times New Roman" w:hAnsi="Times New Roman" w:cs="Times New Roman" w:eastAsia="Times New Roman"/>
                <w:b w:val="false"/>
                <w:sz w:val="26"/>
              </w:rPr>
              <w:t>29-09-2017</w:t>
            </w:r>
          </w:p>
        </w:tc>
        <w:tc>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Nghị định 43/2014/NĐ-CP</w:t>
            </w:r>
          </w:p>
        </w:tc>
        <w:tc>
          <w:p/>
          <w:p>
            <w:pPr>
              <w:spacing w:after="0" w:before="0" w:lineRule="auto" w:line="276"/>
              <w:jc w:val="left"/>
            </w:pPr>
            <w:r>
              <w:rPr>
                <w:rFonts w:ascii="Times New Roman" w:hAnsi="Times New Roman" w:cs="Times New Roman" w:eastAsia="Times New Roman"/>
                <w:b w:val="false"/>
                <w:sz w:val="26"/>
              </w:rPr>
              <w:t>15-05-2014</w:t>
            </w:r>
          </w:p>
        </w:tc>
        <w:tc>
          <w:p/>
        </w:tc>
      </w:tr>
      <w:tr>
        <w:tc>
          <w:p/>
          <w:p>
            <w:pPr>
              <w:spacing w:after="0" w:before="0" w:lineRule="auto" w:line="276"/>
              <w:jc w:val="left"/>
            </w:pPr>
            <w:r>
              <w:rPr>
                <w:rFonts w:ascii="Times New Roman" w:hAnsi="Times New Roman" w:cs="Times New Roman" w:eastAsia="Times New Roman"/>
                <w:b w:val="false"/>
                <w:sz w:val="26"/>
              </w:rPr>
              <w:t>10/2023/NĐ-CP</w:t>
            </w:r>
          </w:p>
        </w:tc>
        <w:tc>
          <w:p/>
          <w:p>
            <w:pPr>
              <w:spacing w:after="0" w:before="0" w:lineRule="auto" w:line="276"/>
              <w:jc w:val="left"/>
            </w:pPr>
            <w:r>
              <w:rPr>
                <w:rFonts w:ascii="Times New Roman" w:hAnsi="Times New Roman" w:cs="Times New Roman" w:eastAsia="Times New Roman"/>
                <w:b w:val="false"/>
                <w:sz w:val="26"/>
              </w:rPr>
              <w:t>Nghị định 10/2023/NĐ-CP</w:t>
            </w:r>
          </w:p>
        </w:tc>
        <w:tc>
          <w:p/>
          <w:p>
            <w:pPr>
              <w:spacing w:after="0" w:before="0" w:lineRule="auto" w:line="276"/>
              <w:jc w:val="left"/>
            </w:pPr>
            <w:r>
              <w:rPr>
                <w:rFonts w:ascii="Times New Roman" w:hAnsi="Times New Roman" w:cs="Times New Roman" w:eastAsia="Times New Roman"/>
                <w:b w:val="false"/>
                <w:sz w:val="26"/>
              </w:rPr>
              <w:t>03-04-2023</w:t>
            </w:r>
          </w:p>
        </w:tc>
        <w:tc>
          <w:p/>
        </w:tc>
      </w:tr>
      <w:tr>
        <w:tc>
          <w:p/>
          <w:p>
            <w:pPr>
              <w:spacing w:after="0" w:before="0" w:lineRule="auto" w:line="276"/>
              <w:jc w:val="left"/>
            </w:pPr>
            <w:r>
              <w:rPr>
                <w:rFonts w:ascii="Times New Roman" w:hAnsi="Times New Roman" w:cs="Times New Roman" w:eastAsia="Times New Roman"/>
                <w:b w:val="false"/>
                <w:sz w:val="26"/>
              </w:rPr>
              <w:t>85/2019/TT-BTC</w:t>
            </w:r>
          </w:p>
        </w:tc>
        <w:tc>
          <w:p/>
          <w:p>
            <w:pPr>
              <w:spacing w:after="0" w:before="0" w:lineRule="auto" w:line="276"/>
              <w:jc w:val="left"/>
            </w:pPr>
            <w:r>
              <w:rPr>
                <w:rFonts w:ascii="Times New Roman" w:hAnsi="Times New Roman" w:cs="Times New Roman" w:eastAsia="Times New Roman"/>
                <w:b w:val="false"/>
                <w:sz w:val="26"/>
              </w:rPr>
              <w:t>Thông tư 85/2019/TT-BTC</w:t>
            </w:r>
          </w:p>
        </w:tc>
        <w:tc>
          <w:p/>
          <w:p>
            <w:pPr>
              <w:spacing w:after="0" w:before="0" w:lineRule="auto" w:line="276"/>
              <w:jc w:val="left"/>
            </w:pPr>
            <w:r>
              <w:rPr>
                <w:rFonts w:ascii="Times New Roman" w:hAnsi="Times New Roman" w:cs="Times New Roman" w:eastAsia="Times New Roman"/>
                <w:b w:val="false"/>
                <w:sz w:val="26"/>
              </w:rPr>
              <w:t>29-11-2019</w:t>
            </w:r>
          </w:p>
        </w:tc>
        <w:tc>
          <w:p/>
        </w:tc>
      </w:tr>
      <w:tr>
        <w:tc>
          <w:p/>
          <w:p>
            <w:pPr>
              <w:spacing w:after="0" w:before="0" w:lineRule="auto" w:line="276"/>
              <w:jc w:val="left"/>
            </w:pPr>
            <w:r>
              <w:rPr>
                <w:rFonts w:ascii="Times New Roman" w:hAnsi="Times New Roman" w:cs="Times New Roman" w:eastAsia="Times New Roman"/>
                <w:b w:val="false"/>
                <w:sz w:val="26"/>
              </w:rPr>
              <w:t>14/2023/TT- BTNMT</w:t>
            </w:r>
          </w:p>
        </w:tc>
        <w:tc>
          <w:p/>
          <w:p>
            <w:pPr>
              <w:spacing w:after="0" w:before="0" w:lineRule="auto" w:line="276"/>
              <w:jc w:val="left"/>
            </w:pPr>
            <w:r>
              <w:rPr>
                <w:rFonts w:ascii="Times New Roman" w:hAnsi="Times New Roman" w:cs="Times New Roman" w:eastAsia="Times New Roman"/>
                <w:b w:val="false"/>
                <w:sz w:val="26"/>
              </w:rPr>
              <w:t>Thông tư số</w:t>
            </w:r>
          </w:p>
        </w:tc>
        <w:tc>
          <w:p/>
          <w:p>
            <w:pPr>
              <w:spacing w:after="0" w:before="0" w:lineRule="auto" w:line="276"/>
              <w:jc w:val="left"/>
            </w:pPr>
            <w:r>
              <w:rPr>
                <w:rFonts w:ascii="Times New Roman" w:hAnsi="Times New Roman" w:cs="Times New Roman" w:eastAsia="Times New Roman"/>
                <w:b w:val="false"/>
                <w:sz w:val="26"/>
              </w:rPr>
              <w:t>16-10-2023</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Có Giấy chứng nhận (trừ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
Trường hợp người sử dụng đất được chậm thực hiện nghĩa vụ tài chính hoặc được ghi nợ nghĩa vụ tài chính thì phải thực hiện xong nghĩa vụ tài chính trước khi thực hiện các quyền.
(2) Đất không có tranh chấp.
(3) Quyền sử dụng đất không bị kê biên để bảo đảm thi hành án.
(4) Trong thời hạn sử dụng đất.
(5) Ngoài các điều kiện nêu tại các điểm 1, 2, 3 và 4 trên đây, còn phải đủ điều kiện sau:
(5.1) Điều kiện bán, mua tài sản gắn liền với đất được Nhà nước cho thuê thu tiền thuê đất hàng năm.
- Hộ gia đình, cá nhân, người Việt Nam định cư ở nước ngoài được bán tài sản gắn liền với đất thuê của Nhà nước khi có đủ các điều kiện sau đây:
+ Tài sản gắn liền với đất thuê được tạo lập hợp pháp theo quy định của pháp luật;
+ Đã hoàn thành việc xây dựng theo đúng quy hoạch xây dựng chi tiết và dự án đầu tư đã được phê duyệt, chấp thuận.
- Người mua tài sản gắn liền với đất thuê phải bảo đảm các điều kiện sau đây:
+ Có năng lực tài chính để thực hiện dự án đầu tư;
+ Có ngành nghề kinh doanh phù hợp với dự án đầu tư;
+ Không vi phạm quy định của pháp luật về đất đai đối với trường hợp đã được Nhà nước giao đất, cho thuê đất để thực hiện dự án trước đó.
- Người mua tài sản được Nhà nước tiếp tục cho thuê đất trong thời hạn sử dụng đất còn lại theo giá đất cụ thể, sử dụng đất đúng mục đích đã được xác định trong dự án.
(5.2) Điều kiện nhận chuyển nhượng, nhận tặng cho quyền sử dụng đất: 
- Hộ gia đình, cá nhân, cộng đồng dân cư, người Việt Nam định cư ở nước ngoài không được nhận chuyển nhượng, nhận tặng cho quyền sử dụng đất đối với trường hợp mà pháp luật không cho phép chuyển nhượng, tặng cho quyền sử dụng đất.
- Hộ gia đình, cá nhân không trực tiếp sản xuất nông nghiệp không được nhận chuyển nhượng, nhận tặng cho quyền sử dụng đất trồng lúa.
- Hộ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
(5.3) Điều kiện hộ gia đình, cá nhân chuyển nhượng, tặng cho quyền sử dụng đất:
-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hộ gia đình, cá nhân sinh sống trong phân khu đó.
-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
- Hộ gia đình, cá nhân là dân tộc thiểu số sử dụng đất do Nhà nước giao đất theo chính sách hỗ trợ của Nhà nước thì được chuyển nhượng, tặng cho quyền sử dụng đất sau 10 năm, kể từ ngày có quyết định giao đất.
(5.4) Hộ gia đình, cá nhân được nhận chuyển nhượng, nhận góp vốn, thuê quyền sử dụng đất nông nghiệp để thực hiện dự án đầu tư sản xuất, kinh doanh phi nông nghiệp khi có đủ các điều kiện sau đây:
- Mục đích sử dụng đối với diện tích đất nhận chuyển nhượng, nhận góp vốn, thuê quyền sử dụng đất phải phù hợp với quy hoạch, kế hoạch sử dụng đất đã được cơ quan nhà nước có thẩm quyền phê duyệt;
- 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
(5.5) Điều kiện chuyển nhượng quyền sử dụng đất trong thực hiện dự án đầu tư xây dựng kinh doanh nhà ở; dự án đầu tư xây dựng kết cấu hạ tầng để chuyển nhượng hoặc cho thuê:
- Việc chuyển nhượng quyền sử dụng đất trong dự án đầu tư xây dựng kinh doanh nhà ở:
+ Được Ủy ban nhân dân cấp tỉnh cho phép chủ đầu tư dự án đầu tư xây dựng kinh doanh nhà ở được chuyển nhượng quyền sử dụng đất dưới hình thức phân lô sau khi đã hoàn thành đầu tư xây dựng kết cấu hạ tầng và nghĩa vụ tài chính về đất đai dựa vào căn cứ:
.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thoát nước, thu gom rác thải;
. Chủ đầu tư phải hoàn thành nghĩa vụ tài chính liên quan đến đất đai của dự án gồm tiền sử dụng đất, tiền thuê đất; thuế, phí, lệ phí liên quan đến đất đai (nếu có);
. Các điều kiện khác theo quy định về pháp luật về quy hoạch đô thị, xây dựng, phát triển đô thị, kinh doanh bất động sản và nhà ở;
. Chủ đầu tư dự án xây dựng kinh doanh nhà ở để bán hoặc để bán kết hợp cho thuê được chuyển nhượng quyền sử dụng đất dưới hình thức phân lô, bán nền tại khu vực không nằm trong địa bàn các phường của các đô thị loại đặc biệt và đô thị loại I trực thuộc Trung ương;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
. Ủy ban nhân dân cấp tỉnh có trách nhiệm tổ chức công bố công khai các khu vực được thực hiện dự án xây dựng kinh doanh nhà ở để bán hoặc để bán kết hợp cho thuê được chuyển nhượng quyền sử dụng đất dưới hình thức phân lô, bán nền trước khi tổ chức thực hiện các dự án đầu tư.
+ Việc chuyển nhượng quyền sử dụng đất gắn với việc chuyển nhượng toàn bộ hoặc một phần dự án khi chủ đầu tư phải hoàn thành nghĩa vụ tài chính liên quan đến đất đai của dự án gồm tiền sử dụng đất, tiền thuê đất; thuế, phí, lệ phí liên quan đến đất đai (nếu có).
- Người nhận chuyển nhượng quyền sử dụng đất gắn với chuyển nhượng một phần hoặc toàn bộ dự án đầu tư xây dựng kinh doanh nhà ở phải có ngành nghề kinh doanh phù hợp, phải đáp ứng các điều kiện:
+ Có năng lực tài chính để bảo đảm việc sử dụng đất theo tiến độ của dự án đầu tư. Cụ thể: 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 có khả năng huy động vốn để thực hiện dự án từ các tổ chức tín dụng, chi nhánh ngân hàng nước ngoài và các tổ chức, cá nhân khác.
+ Ký quỹ theo quy định của pháp luật về đầu tư;
+ Không vi phạm quy định của pháp luật về đất đai đối với trường hợp đang sử dụng đất do Nhà nước giao đất, cho thuê đất để thực hiện dự án đầu tư khác.
+ Dự án sản xuất, kinh doanh không sử dụng vốn từ ngân sách nhà nước.
- Việc chuyển nhượng quyền sử dụng đất gắn với chuyển nhượng toàn bộ dự án đầu tư xây dựng kết cấu hạ tầng để chuyển nhượng hoặc cho thuê phải đáp ứng các điều kiện: Dự án phải xây dựng xong các công trình hạ tầng kỹ thuật tương ứng theo tiến độ ghi trong dự án đã được phê duyệt.
        (5.6) Hộ gia đình, cá nhân nhận chuyển nhượng quyền sử dụng đất để tự xây dựng nhà ở phải thực hiện việc xây dựng nhà ở theo đúng giấy phép xây dựng, tuân thủ quy hoạch chi tiết và thiết kế đô thị đã được phê duyệt.
(5.7) Tổ chức kinh tế nhận góp vốn bằng quyền sử dụng đất của hộ gia đình, cá nhân trong các trường hợp sau đây:
Đất của hộ gia đình, cá nhân góp vốn mà không phải là đất được Nhà nước cho thuê trả tiền thuê đất hàng năm.
(5.8) Thửa đất nông nghiệp chuyển đổi phải trong cùng một xã, phường, thị trấn.
6. Đối với trường hợp thực hiện thủ tục trên môi trường điện tử: Căn cứ điều kiện cụ thể về hạ tầng kỹ thuật công nghệ thông tin đất đai và cơ sở dữ liệu đất đai đang quản lý, cơ quan tiếp nhận hồ sơ và trả kết quả giải quyết thủ tục hành chính về đất đai quy định tại Điều 60 của Nghị định số 43/2014/NĐ-CP ngày 15/5/2014 của Chính phủ quy định chi tiết thi hành một số điều của Luật Đất đai (được sửa đổi, bổ sung tại khoản 7 Điều 1 của Nghị định số 10/2023/NĐ-CP ngày 03/4/2023 sửa đổi, bổ sung một số điều của các nghị định hướng dẫn thi hành Luật Đất đai) có trách nhiệm tổ chức việc tiếp nhận hồ sơ và trả kết quả giải quyết thủ tục hành chính trên môi trường điện tử theo quy định của Chính phủ.</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Sổ đỏ</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2024-03-29T07:48:52Z</dcterms:created>
  <dc:creator>Apache POI</dc:creator>
</cp:coreProperties>
</file>