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159/QĐ-BYT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hoạt động khám bệnh, chữa bệnh nhân đạo đối với Phòng khám đa khoa thuộc thẩm quyền của Bộ Y tế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Khám bệnh, chữa bệnh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khám bệnh, chữa bệnh gửi hồ sơ  xin cấp giấy phép hoạt động về Cục Quản lý khám, chữa bệnh - Bộ Y tế;</w:t>
      </w:r>
    </w:p>
    <w:p>
      <w:pPr>
        <w:spacing w:after="0" w:before="0" w:lineRule="auto" w:line="276"/>
        <w:jc w:val="both"/>
      </w:pPr>
      <w:r>
        <w:rPr>
          <w:rFonts w:ascii="Times New Roman" w:hAnsi="Times New Roman" w:cs="Times New Roman" w:eastAsia="Times New Roman"/>
          <w:b w:val="false"/>
          <w:sz w:val="26"/>
        </w:rPr>
        <w:t>Bước 2: Cục Quản lý khám, chữa bệnh tiếp nhận và gửi Phiếu tiếp nhận hồ sơ cho người đề nghị;</w:t>
      </w:r>
    </w:p>
    <w:p>
      <w:pPr>
        <w:spacing w:after="0" w:before="0" w:lineRule="auto" w:line="276"/>
        <w:jc w:val="both"/>
      </w:pPr>
      <w:r>
        <w:rPr>
          <w:rFonts w:ascii="Times New Roman" w:hAnsi="Times New Roman" w:cs="Times New Roman" w:eastAsia="Times New Roman"/>
          <w:b w:val="false"/>
          <w:sz w:val="26"/>
        </w:rPr>
        <w:t>Bước 3: Trong thời hạn 90 ngày kể từ ngày nhận đủ hồ sơ, Cục Quản lý khám, chữa bệnh sẽ xem xét thẩm định hồ sơ  và thẩm định tại cơ sở xin cấp giấy phép hoạt động:</w:t>
      </w:r>
    </w:p>
    <w:p>
      <w:pPr>
        <w:spacing w:after="0" w:before="0" w:lineRule="auto" w:line="276"/>
        <w:jc w:val="both"/>
      </w:pPr>
      <w:r>
        <w:rPr>
          <w:rFonts w:ascii="Times New Roman" w:hAnsi="Times New Roman" w:cs="Times New Roman" w:eastAsia="Times New Roman"/>
          <w:b w:val="false"/>
          <w:sz w:val="26"/>
        </w:rPr>
        <w:t>- Trường hợp hồ sơ chưa hợp lệ thì trong thời hạn 10 ngày làm việc, kể từ ngày ghi trên Phiếu tiếp nhận hồ sơ, Cục Quản lý khám, chữa bệnh  phải có văn bản thông báo cho cơ sở xin cấp giấy phép hoàn chỉnh hồ sơ. Thời gian giải quyết thủ tục sẽ tính từ ngày nhận đủ hồ sơ bổ sung.</w:t>
      </w:r>
    </w:p>
    <w:p>
      <w:pPr>
        <w:spacing w:after="0" w:before="0" w:lineRule="auto" w:line="276"/>
        <w:jc w:val="both"/>
      </w:pPr>
      <w:r>
        <w:rPr>
          <w:rFonts w:ascii="Times New Roman" w:hAnsi="Times New Roman" w:cs="Times New Roman" w:eastAsia="Times New Roman"/>
          <w:b w:val="false"/>
          <w:sz w:val="26"/>
        </w:rPr>
        <w:t>- Trường hợp hồ sơ đã đầy đủ và hợp lệ, Cục Quản lý khám, chữa bệnh  thành lập đoàn thẩm định và tiến hành thẩm định tại cơ sở khám bệnh, chữa bệnh để cấp giấy phép hoạt động.</w:t>
      </w:r>
    </w:p>
    <w:p>
      <w:pPr>
        <w:spacing w:after="0" w:before="0" w:lineRule="auto" w:line="276"/>
        <w:jc w:val="both"/>
      </w:pPr>
      <w:r>
        <w:rPr>
          <w:rFonts w:ascii="Times New Roman" w:hAnsi="Times New Roman" w:cs="Times New Roman" w:eastAsia="Times New Roman"/>
          <w:b w:val="false"/>
          <w:sz w:val="26"/>
        </w:rPr>
        <w:t>- Trường hợp không cấp giấy phép hoạt động, Bộ Y tế phải có văn bản trả lời và nêu lý do.</w:t>
      </w:r>
    </w:p>
    <w:p>
      <w:pPr>
        <w:spacing w:after="0" w:before="0" w:lineRule="auto" w:line="276"/>
        <w:jc w:val="both"/>
      </w:pPr>
      <w:r>
        <w:rPr>
          <w:rFonts w:ascii="Times New Roman" w:hAnsi="Times New Roman" w:cs="Times New Roman" w:eastAsia="Times New Roman"/>
          <w:b w:val="false"/>
          <w:sz w:val="26"/>
        </w:rPr>
        <w:t>Bước 4: Trả giấy phép hoạt động cho cơ sở.</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90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90 ngày kể từ ngày nhận đủ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90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90 ngày kể từ ngày nhận đủ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phép hoạt động theo mẫu quy định tại Phụ lục 13 Thông tư số 41/2011/TT-BYT;</w:t>
            </w:r>
          </w:p>
        </w:tc>
        <w:tc>
          <w:p/>
          <w:p>
            <w:pPr>
              <w:spacing w:after="0" w:before="0" w:lineRule="auto" w:line="276"/>
              <w:jc w:val="left"/>
            </w:pPr>
            <w:r>
              <w:rPr>
                <w:rFonts w:ascii="Times New Roman" w:hAnsi="Times New Roman" w:cs="Times New Roman" w:eastAsia="Times New Roman"/>
                <w:b w:val="false"/>
                <w:sz w:val="26"/>
              </w:rPr>
              <w:t>TT41_2011_TTBYT_Phu luc 13.doc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chứng chỉ hành nghề của tất cả người hành nghề ;</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Danh sách người đăng ký hành nghề của cơ sở khám bệnh, chữa bệnh theo mẫu quy định tại Phụ lục 6- Thông tư 41/2011/TT-BYT;</w:t>
            </w:r>
          </w:p>
        </w:tc>
        <w:tc>
          <w:p/>
          <w:p>
            <w:pPr>
              <w:spacing w:after="0" w:before="0" w:lineRule="auto" w:line="276"/>
              <w:jc w:val="left"/>
            </w:pPr>
            <w:r>
              <w:rPr>
                <w:rFonts w:ascii="Times New Roman" w:hAnsi="Times New Roman" w:cs="Times New Roman" w:eastAsia="Times New Roman"/>
                <w:b w:val="false"/>
                <w:sz w:val="26"/>
              </w:rPr>
              <w:t>TT41_2011_TTBYT_Phu luc 6.doc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kê khai cơ sở vật chất, thiết bị y tế, của cơ sở khám bệnh, chữa bệnh theo mẫu quy định tại Phụ lục 14Thông tư 41/2011/TT-BYT</w:t>
            </w:r>
          </w:p>
        </w:tc>
        <w:tc>
          <w:p/>
          <w:p>
            <w:pPr>
              <w:spacing w:after="0" w:before="0" w:lineRule="auto" w:line="276"/>
              <w:jc w:val="left"/>
            </w:pPr>
            <w:r>
              <w:rPr>
                <w:rFonts w:ascii="Times New Roman" w:hAnsi="Times New Roman" w:cs="Times New Roman" w:eastAsia="Times New Roman"/>
                <w:b w:val="false"/>
                <w:sz w:val="26"/>
              </w:rPr>
              <w:t>TT41_2011_TTBYT_Phu luc 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nhân sự của người làm việc chuyên môn y tế tại cơ sở nhưng không thuộc diện phải cấp chứng chỉ hành nghề</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kiến phạm vi hoạt động chuyên môn: Cơ sở khám bệnh, chữa bệnh đề xuất phạm vi hoạt động chuyên môn, danh mục kỹ thuật dự kiến thực hiện trên cơ sở danh mục kỹ thuật chuyên môn do Bộ trưởng Bộ Y tế ban hành.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chứng minh có nguồn tài chính ổn định bảo đảm cho hoạt động khám bệnh, chữa bệnh.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Khám chữa bệnh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Cục quản lý khám chữa bệnh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hoạt động đối với cơ sở khám bệnh, chữa bệnh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40/2009/QH12</w:t>
            </w:r>
          </w:p>
        </w:tc>
        <w:tc>
          <w:p/>
          <w:p>
            <w:pPr>
              <w:spacing w:after="0" w:before="0" w:lineRule="auto" w:line="276"/>
              <w:jc w:val="left"/>
            </w:pPr>
            <w:r>
              <w:rPr>
                <w:rFonts w:ascii="Times New Roman" w:hAnsi="Times New Roman" w:cs="Times New Roman" w:eastAsia="Times New Roman"/>
                <w:b w:val="false"/>
                <w:sz w:val="26"/>
              </w:rPr>
              <w:t>Luật 40/2009/QH12</w:t>
            </w:r>
          </w:p>
        </w:tc>
        <w:tc>
          <w:p/>
          <w:p>
            <w:pPr>
              <w:spacing w:after="0" w:before="0" w:lineRule="auto" w:line="276"/>
              <w:jc w:val="left"/>
            </w:pPr>
            <w:r>
              <w:rPr>
                <w:rFonts w:ascii="Times New Roman" w:hAnsi="Times New Roman" w:cs="Times New Roman" w:eastAsia="Times New Roman"/>
                <w:b w:val="false"/>
                <w:sz w:val="26"/>
              </w:rPr>
              <w:t>23-11-2009</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11/2008/QH12</w:t>
            </w:r>
          </w:p>
        </w:tc>
        <w:tc>
          <w:p/>
          <w:p>
            <w:pPr>
              <w:spacing w:after="0" w:before="0" w:lineRule="auto" w:line="276"/>
              <w:jc w:val="left"/>
            </w:pPr>
            <w:r>
              <w:rPr>
                <w:rFonts w:ascii="Times New Roman" w:hAnsi="Times New Roman" w:cs="Times New Roman" w:eastAsia="Times New Roman"/>
                <w:b w:val="false"/>
                <w:sz w:val="26"/>
              </w:rPr>
              <w:t>Luật 11/2008/QH12-Hoạt động chữ thập đỏ</w:t>
            </w:r>
          </w:p>
        </w:tc>
        <w:tc>
          <w:p/>
          <w:p>
            <w:pPr>
              <w:spacing w:after="0" w:before="0" w:lineRule="auto" w:line="276"/>
              <w:jc w:val="left"/>
            </w:pPr>
            <w:r>
              <w:rPr>
                <w:rFonts w:ascii="Times New Roman" w:hAnsi="Times New Roman" w:cs="Times New Roman" w:eastAsia="Times New Roman"/>
                <w:b w:val="false"/>
                <w:sz w:val="26"/>
              </w:rPr>
              <w:t>03-06-2008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03/2011/NĐ-CP</w:t>
            </w:r>
          </w:p>
        </w:tc>
        <w:tc>
          <w:p/>
          <w:p>
            <w:pPr>
              <w:spacing w:after="0" w:before="0" w:lineRule="auto" w:line="276"/>
              <w:jc w:val="left"/>
            </w:pPr>
            <w:r>
              <w:rPr>
                <w:rFonts w:ascii="Times New Roman" w:hAnsi="Times New Roman" w:cs="Times New Roman" w:eastAsia="Times New Roman"/>
                <w:b w:val="false"/>
                <w:sz w:val="26"/>
              </w:rPr>
              <w:t>Nghị định 03/2011/NĐ-CP-Quy định chi tiết và biện pháp thi hành Luật Hoạt động chữ thập đỏ</w:t>
            </w:r>
          </w:p>
        </w:tc>
        <w:tc>
          <w:p/>
          <w:p>
            <w:pPr>
              <w:spacing w:after="0" w:before="0" w:lineRule="auto" w:line="276"/>
              <w:jc w:val="left"/>
            </w:pPr>
            <w:r>
              <w:rPr>
                <w:rFonts w:ascii="Times New Roman" w:hAnsi="Times New Roman" w:cs="Times New Roman" w:eastAsia="Times New Roman"/>
                <w:b w:val="false"/>
                <w:sz w:val="26"/>
              </w:rPr>
              <w:t>07-01-2011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41/2011/TT-BYT</w:t>
            </w:r>
          </w:p>
        </w:tc>
        <w:tc>
          <w:p/>
          <w:p>
            <w:pPr>
              <w:spacing w:after="0" w:before="0" w:lineRule="auto" w:line="276"/>
              <w:jc w:val="left"/>
            </w:pPr>
            <w:r>
              <w:rPr>
                <w:rFonts w:ascii="Times New Roman" w:hAnsi="Times New Roman" w:cs="Times New Roman" w:eastAsia="Times New Roman"/>
                <w:b w:val="false"/>
                <w:sz w:val="26"/>
              </w:rPr>
              <w:t>Thông tư 41/2011/TT-BYT-Hướng dẫn cấp chứng chỉ hành nghề đối với người hành nghề và cấp giấy phép hoạt động đối với cơ sở khám bệnh, chữa bệnh</w:t>
            </w:r>
          </w:p>
        </w:tc>
        <w:tc>
          <w:p/>
          <w:p>
            <w:pPr>
              <w:spacing w:after="0" w:before="0" w:lineRule="auto" w:line="276"/>
              <w:jc w:val="left"/>
            </w:pPr>
            <w:r>
              <w:rPr>
                <w:rFonts w:ascii="Times New Roman" w:hAnsi="Times New Roman" w:cs="Times New Roman" w:eastAsia="Times New Roman"/>
                <w:b w:val="false"/>
                <w:sz w:val="26"/>
              </w:rPr>
              <w:t>14-11-2011</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30/2014/TT-BYT</w:t>
            </w:r>
          </w:p>
        </w:tc>
        <w:tc>
          <w:p/>
          <w:p>
            <w:pPr>
              <w:spacing w:after="0" w:before="0" w:lineRule="auto" w:line="276"/>
              <w:jc w:val="left"/>
            </w:pPr>
            <w:r>
              <w:rPr>
                <w:rFonts w:ascii="Times New Roman" w:hAnsi="Times New Roman" w:cs="Times New Roman" w:eastAsia="Times New Roman"/>
                <w:b w:val="false"/>
                <w:sz w:val="26"/>
              </w:rPr>
              <w:t>Thông tư 30/2014/TT-BYT-Quy định về khám bệnh, chữa bệnh nhân đạo</w:t>
            </w:r>
          </w:p>
        </w:tc>
        <w:tc>
          <w:p/>
          <w:p>
            <w:pPr>
              <w:spacing w:after="0" w:before="0" w:lineRule="auto" w:line="276"/>
              <w:jc w:val="left"/>
            </w:pPr>
            <w:r>
              <w:rPr>
                <w:rFonts w:ascii="Times New Roman" w:hAnsi="Times New Roman" w:cs="Times New Roman" w:eastAsia="Times New Roman"/>
                <w:b w:val="false"/>
                <w:sz w:val="26"/>
              </w:rPr>
              <w:t>28-09-2014</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cấp giấy phép hoạt động đối với phòng khám đa khoa
1. Quy mô phòng khám đa khoa:
Phòng khám đa khoa phải đáp ứng ít nhất các điều kiện sau:
a) Có ít nhất 02 trong 04 chuyên khoa nội, ngoại, sản, nhi;
b) Phòng cấp cứu;
c) Buồng tiểu phẫu;
d) Phòng lưu người bệnh;
đ) Cận lâm sàng: Có hai bộ phận xét nghiệm và chẩn đoán hình ảnh;
2. Cơ sở vật chất:
a) Có nơi tiếp đón, phòng cấp cứu, phòng lưu người bệnh, phòng khám chuyên khoa và buồng tiểu phẫu. Các phòng khám trong phòng khám đa khoa phải đáp ứng các yêu cầu ít nhất về diện tích như sau:
- Phòng cấp cứu có diện tích ít nhất 12m2;
- Phòng lưu người bệnh có diện tích ít nhất 15m2; có ít nhất từ 02 giường lưu trở lên, nếu có từ 03 giường lưu trở lên thì diện tích mỗi giường ít nhất là 05m2;
- Các phòng khám chuyên khoa và buồng tiểu phẫu có diện tích ít nhất 10m2.
Riêng đối với phòng khám đa khoa khu vực của Nhà nước phải bảo đảm tiêu chuẩn thiết kế quy định tại Quyết định số 1327/2002/QĐ - BYT ngày 18 tháng 4 năm 2002 của Bộ trưởng Bộ Y tế;
b) Bảo đảm các điều kiện về an toàn bức xạ, quản lý chất thải y tế, phòng cháy chữa cháy theo quy định của pháp luật;
c) Bảo đảm có đủ điện, nước và các điều kiện khác để phục vụ chăm sóc người bệnh.
3. Thiết bị y tế:
Có đủ thiết bị, dụng cụ y tế phù hợp với phạm vi hoạt động chuyên môn mà phòng khám đa khoa đăng ký.
4. Tổ chức nhân sự:
a) Số lượng bác sỹ làm việc toàn thời gian (cơ hữu) phải đạt tỷ lệ ít nhất là 50% trên tổng số bác sỹ của phòng khám đa khoa;
b) Người chịu trách nhiệm chuyên môn kỹ thuật của phòng khám đa khoa phải đáp ứng các điều kiện sau:
- Là bác sỹ có chứng chỉ hành nghề phù hợp với ít nhất một trong các chuyên khoa mà phòng khám đa khoa đăng ký;
- Có thời gian khám bệnh, chữa bệnh ít nhất là 54 tháng. Việc phân công, bổ nhiệm người chịu trách nhiệm chuyên môn kỹ thuật của phòng khám đa khoa phải được thể hiện bằng văn bản;
- Là người làm việc toàn thời gian tại phòng khám đa khoa;
c) Ngoài người chịu trách nhiệm chuyên môn kỹ thuật của phòng khám đa khoa, các đối tượng khác làm việc trong phòng khám đa khoa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
5. Phạm vi hoạt động chuyên môn:
Hành nghề theo phạm vi hoạt động chuyên môn được Giám đốc Sở Y tế tỉnh phê duyệt. Việc phê duyệt phải căn cứ vào quy định về phạm vi hoạt động chuyên môn tại các Điều 25, 26, 28, 29, 30, 32, 33 và 34 Thông tư này.
6. Biển hiệu của cơ sở khám bệnh, chữa bệnh phải ghi rõ là cơ sở khám bệnh, chữa bệnh nhân đạo</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2024-03-28T09:12:16Z</dcterms:created>
  <dc:creator>Apache POI</dc:creator>
</cp:coreProperties>
</file>