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2.000481</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1096/QĐ-BNV</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phân loại đơn vị hành chính cấp huyện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Chính quyền địa phương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Bước 5: Bộ trưởng Bộ Nội vụ xem xét, quyết định phân loại đơn vị hành chính cấp huyện trong thời hạn 15 ngày kể từ ngày có kết quả thẩm định.</w:t>
      </w:r>
    </w:p>
    <w:p>
      <w:pPr>
        <w:spacing w:after="0" w:before="0" w:lineRule="auto" w:line="276"/>
        <w:jc w:val="both"/>
      </w:pPr>
      <w:r>
        <w:rPr>
          <w:rFonts w:ascii="Times New Roman" w:hAnsi="Times New Roman" w:cs="Times New Roman" w:eastAsia="Times New Roman"/>
          <w:b w:val="false"/>
          <w:sz w:val="26"/>
        </w:rPr>
        <w:t>Bước 1: Ủy ban nhân dân huyện, quận, thị xã, thành phố trực thuộc trung ương, thành phố trực thuộc thành phố trực thuộc trung ương (sau đây gọi chung là cấp huyện) chỉ đạo cơ quan chuyên môn lập hồ sơ phân loại đơn vị hành chính cấp mình, trình Hội đồng nhân dân cùng cấp xem xét, thông qua trước khi trình Ủy ban nhân dân cấp tỉnh.</w:t>
      </w:r>
    </w:p>
    <w:p>
      <w:pPr>
        <w:spacing w:after="0" w:before="0" w:lineRule="auto" w:line="276"/>
        <w:jc w:val="both"/>
      </w:pPr>
      <w:r>
        <w:rPr>
          <w:rFonts w:ascii="Times New Roman" w:hAnsi="Times New Roman" w:cs="Times New Roman" w:eastAsia="Times New Roman"/>
          <w:b w:val="false"/>
          <w:sz w:val="26"/>
        </w:rPr>
        <w:t>Bước 2: Sở Nội vụ tham mưu giúp Ủy ban nhân dân cấp tỉnh kiểm tra hồ sơ của Ủy ban nhân dân cấp huyện; phối hợp với Ủy ban nhân dân cấp huyện hoàn thiện hồ sơ báo cáo Ủy ban nhân dân cấp tỉnh xem xét.</w:t>
      </w:r>
    </w:p>
    <w:p>
      <w:pPr>
        <w:spacing w:after="0" w:before="0" w:lineRule="auto" w:line="276"/>
        <w:jc w:val="both"/>
      </w:pPr>
      <w:r>
        <w:rPr>
          <w:rFonts w:ascii="Times New Roman" w:hAnsi="Times New Roman" w:cs="Times New Roman" w:eastAsia="Times New Roman"/>
          <w:b w:val="false"/>
          <w:sz w:val="26"/>
        </w:rPr>
        <w:t>Bước 3: Ủy ban nhân dân cấp tỉnh trình Bộ Nội vụ hồ sơ phân loại đơn vị hành chính cấp huyện</w:t>
      </w:r>
    </w:p>
    <w:p>
      <w:pPr>
        <w:spacing w:after="0" w:before="0" w:lineRule="auto" w:line="276"/>
        <w:jc w:val="both"/>
      </w:pPr>
      <w:r>
        <w:rPr>
          <w:rFonts w:ascii="Times New Roman" w:hAnsi="Times New Roman" w:cs="Times New Roman" w:eastAsia="Times New Roman"/>
          <w:b w:val="false"/>
          <w:sz w:val="26"/>
        </w:rPr>
        <w:t>Bước 4: Bộ Nội vụ tổ chức thẩm định trong thời hạn 15 ngày kể từ ngày nhận đủ hồ sơ phân loại đơn vị hành chính cấp huyện do Ủy ban nhân dân cấp tỉnh gửi đến.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Khác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Thời hạn tổ chức thẩm định là 15 ngày kể từ ngày nhận đủ hồ sơ phân loại đơn vị hành chính cấp huyện do Ủy ban nhân dân cấp tỉnh gửi đến.
Thời hạn Bộ trưởng Bộ Nội vụ xem xét, quyết định phân loại đơn vị hành chính cấp huyện là 15 ngày kể từ ngày có kết quả thẩm định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Khác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Thời hạn tổ chức thẩm định là 15 ngày kể từ ngày nhận đủ hồ sơ phân loại đơn vị hành chính cấp huyện do Ủy ban nhân dân cấp tỉnh gửi đến.
Thời hạn Bộ trưởng Bộ Nội vụ xem xét, quyết định phân loại đơn vị hành chính cấp huyện là 15 ngày kể từ ngày có kết quả thẩm định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Bảng thống kê số liệu tiêu chuẩn làm cơ sở xác định các tiêu chuẩn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Bản đồ xác định vị trí đơn vị hành chính được phân loại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Các văn bản của cơ quan có thẩm quyền quyết định hoặc xác nhận về tiêu chuẩn của yếu tổ đặc thù</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Tờ trình của Ủy ban nhân dân cấp huyện; - Nghị quyết của Hội đồng nhân dân cấp huyện đối với việc phân loại đơn vị hành chính cấp huyện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Báo cáo thuyết minh đánh giá các tiêu chuẩn phân loại đơn vị hành chính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Bộ Nội vụ</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của Bộ trưởng Bộ Nội vụ phân ĐVHC cấp huyện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1211/2016/UBTVQH13	</w:t>
            </w:r>
          </w:p>
        </w:tc>
        <w:tc>
          <w:p/>
          <w:p>
            <w:pPr>
              <w:spacing w:after="0" w:before="0" w:lineRule="auto" w:line="276"/>
              <w:jc w:val="left"/>
            </w:pPr>
            <w:r>
              <w:rPr>
                <w:rFonts w:ascii="Times New Roman" w:hAnsi="Times New Roman" w:cs="Times New Roman" w:eastAsia="Times New Roman"/>
                <w:b w:val="false"/>
                <w:sz w:val="26"/>
              </w:rPr>
              <w:t>Nghị quyết 1211/2016/UBTVQH13</w:t>
            </w:r>
          </w:p>
        </w:tc>
        <w:tc>
          <w:p/>
          <w:p>
            <w:pPr>
              <w:spacing w:after="0" w:before="0" w:lineRule="auto" w:line="276"/>
              <w:jc w:val="left"/>
            </w:pPr>
            <w:r>
              <w:rPr>
                <w:rFonts w:ascii="Times New Roman" w:hAnsi="Times New Roman" w:cs="Times New Roman" w:eastAsia="Times New Roman"/>
                <w:b w:val="false"/>
                <w:sz w:val="26"/>
              </w:rPr>
              <w:t>25-05-2016</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2024-03-28T12:34:27Z</dcterms:created>
  <dc:creator>Apache POI</dc:creator>
</cp:coreProperties>
</file>