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2.000505</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QĐ/0001-BTP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Phiếu lý lịch tư pháp cho cơ quan tiến hành tố tụng (đối tượng là công dân Việt Nam, người nước ngoài đang cư trú tại Việt Nam)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Lý lịch tư pháp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Nộp hồ sơ tại Sở Tư pháp..</w:t>
      </w:r>
    </w:p>
    <w:p>
      <w:pPr>
        <w:spacing w:after="0" w:before="0" w:lineRule="auto" w:line="276"/>
        <w:jc w:val="both"/>
      </w:pPr>
      <w:r>
        <w:rPr>
          <w:rFonts w:ascii="Times New Roman" w:hAnsi="Times New Roman" w:cs="Times New Roman" w:eastAsia="Times New Roman"/>
          <w:b w:val="false"/>
          <w:sz w:val="26"/>
        </w:rPr>
        <w:t>Nhận kết quả tại nơi nộp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10 ngày làm việc, kể từ ngày nhận được yêu cầu hợp lệ. Trường hợp người được yêu cầu cấp Phiếu lý lịch tư pháp là công dân Việt Nam đã cư trú ở nhiều nơi hoặc có thời gian cư trú ở nước ngoài, người nước ngoài, trường hợp phải xác minh về điều kiện đương nhiên được xóa án tích thì thời hạn không quá 15 ngày làm việc. Trường hợp khẩn cấp thì thời hạn không quá 24 giờ, kể từ thời điểm nhận được yêu cầu.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yêu cầu cấp Phiếu lý lịch tư pháp số 2 dành cho cơ quan tiến hành tố tụng (Mẫu số 05b/2013/TT-LLTP).</w:t>
            </w:r>
          </w:p>
        </w:tc>
        <w:tc>
          <w:p/>
          <w:p>
            <w:pPr>
              <w:spacing w:after="0" w:before="0" w:lineRule="auto" w:line="276"/>
              <w:jc w:val="left"/>
            </w:pPr>
            <w:r>
              <w:rPr>
                <w:rFonts w:ascii="Times New Roman" w:hAnsi="Times New Roman" w:cs="Times New Roman" w:eastAsia="Times New Roman"/>
                <w:b w:val="false"/>
                <w:sz w:val="26"/>
              </w:rPr>
              <w:t>Mẫu số 05b-2013-TT-LLTP.doc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Phiếu lý lịch tư pháp số 2</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28/2009/QH12</w:t>
            </w:r>
          </w:p>
        </w:tc>
        <w:tc>
          <w:p/>
          <w:p>
            <w:pPr>
              <w:spacing w:after="0" w:before="0" w:lineRule="auto" w:line="276"/>
              <w:jc w:val="left"/>
            </w:pPr>
            <w:r>
              <w:rPr>
                <w:rFonts w:ascii="Times New Roman" w:hAnsi="Times New Roman" w:cs="Times New Roman" w:eastAsia="Times New Roman"/>
                <w:b w:val="false"/>
                <w:sz w:val="26"/>
              </w:rPr>
              <w:t>Luật 28/2009/QH12</w:t>
            </w:r>
          </w:p>
        </w:tc>
        <w:tc>
          <w:p/>
          <w:p>
            <w:pPr>
              <w:spacing w:after="0" w:before="0" w:lineRule="auto" w:line="276"/>
              <w:jc w:val="left"/>
            </w:pPr>
            <w:r>
              <w:rPr>
                <w:rFonts w:ascii="Times New Roman" w:hAnsi="Times New Roman" w:cs="Times New Roman" w:eastAsia="Times New Roman"/>
                <w:b w:val="false"/>
                <w:sz w:val="26"/>
              </w:rPr>
              <w:t>17-06-2009</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111/2010/NĐ-CP</w:t>
            </w:r>
          </w:p>
        </w:tc>
        <w:tc>
          <w:p/>
          <w:p>
            <w:pPr>
              <w:spacing w:after="0" w:before="0" w:lineRule="auto" w:line="276"/>
              <w:jc w:val="left"/>
            </w:pPr>
            <w:r>
              <w:rPr>
                <w:rFonts w:ascii="Times New Roman" w:hAnsi="Times New Roman" w:cs="Times New Roman" w:eastAsia="Times New Roman"/>
                <w:b w:val="false"/>
                <w:sz w:val="26"/>
              </w:rPr>
              <w:t>Nghị định 111/2010/NĐ-CP</w:t>
            </w:r>
          </w:p>
        </w:tc>
        <w:tc>
          <w:p/>
          <w:p>
            <w:pPr>
              <w:spacing w:after="0" w:before="0" w:lineRule="auto" w:line="276"/>
              <w:jc w:val="left"/>
            </w:pPr>
            <w:r>
              <w:rPr>
                <w:rFonts w:ascii="Times New Roman" w:hAnsi="Times New Roman" w:cs="Times New Roman" w:eastAsia="Times New Roman"/>
                <w:b w:val="false"/>
                <w:sz w:val="26"/>
              </w:rPr>
              <w:t>23-11-2010</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13/2011/TT-BTP</w:t>
            </w:r>
          </w:p>
        </w:tc>
        <w:tc>
          <w:p/>
          <w:p>
            <w:pPr>
              <w:spacing w:after="0" w:before="0" w:lineRule="auto" w:line="276"/>
              <w:jc w:val="left"/>
            </w:pPr>
            <w:r>
              <w:rPr>
                <w:rFonts w:ascii="Times New Roman" w:hAnsi="Times New Roman" w:cs="Times New Roman" w:eastAsia="Times New Roman"/>
                <w:b w:val="false"/>
                <w:sz w:val="26"/>
              </w:rPr>
              <w:t>Thông tư 13/2011/TT-BTP</w:t>
            </w:r>
          </w:p>
        </w:tc>
        <w:tc>
          <w:p/>
          <w:p>
            <w:pPr>
              <w:spacing w:after="0" w:before="0" w:lineRule="auto" w:line="276"/>
              <w:jc w:val="left"/>
            </w:pPr>
            <w:r>
              <w:rPr>
                <w:rFonts w:ascii="Times New Roman" w:hAnsi="Times New Roman" w:cs="Times New Roman" w:eastAsia="Times New Roman"/>
                <w:b w:val="false"/>
                <w:sz w:val="26"/>
              </w:rPr>
              <w:t>27-06-2011</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04/2012/TTLT-BTP-TANDTC-VKSNDTC-BCA-BQP</w:t>
            </w:r>
          </w:p>
        </w:tc>
        <w:tc>
          <w:p/>
          <w:p>
            <w:pPr>
              <w:spacing w:after="0" w:before="0" w:lineRule="auto" w:line="276"/>
              <w:jc w:val="left"/>
            </w:pPr>
            <w:r>
              <w:rPr>
                <w:rFonts w:ascii="Times New Roman" w:hAnsi="Times New Roman" w:cs="Times New Roman" w:eastAsia="Times New Roman"/>
                <w:b w:val="false"/>
                <w:sz w:val="26"/>
              </w:rPr>
              <w:t>Thông tư liên tịch số 04/2012/TTLT-BTP-TANDTC-VKSNDTC-BCA-BQP</w:t>
            </w:r>
          </w:p>
        </w:tc>
        <w:tc>
          <w:p/>
          <w:p>
            <w:pPr>
              <w:spacing w:after="0" w:before="0" w:lineRule="auto" w:line="276"/>
              <w:jc w:val="left"/>
            </w:pPr>
            <w:r>
              <w:rPr>
                <w:rFonts w:ascii="Times New Roman" w:hAnsi="Times New Roman" w:cs="Times New Roman" w:eastAsia="Times New Roman"/>
                <w:b w:val="false"/>
                <w:sz w:val="26"/>
              </w:rPr>
              <w:t>10-05-2012</w:t>
            </w:r>
          </w:p>
        </w:tc>
        <w:tc>
          <w:p/>
          <w:p>
            <w:pPr>
              <w:spacing w:after="0" w:before="0" w:lineRule="auto" w:line="276"/>
              <w:jc w:val="left"/>
            </w:pPr>
            <w:r>
              <w:rPr>
                <w:rFonts w:ascii="Times New Roman" w:hAnsi="Times New Roman" w:cs="Times New Roman" w:eastAsia="Times New Roman"/>
                <w:b w:val="false"/>
                <w:sz w:val="26"/>
              </w:rPr>
              <w:t>Bộ Quốc phòng</w:t>
            </w:r>
          </w:p>
        </w:tc>
      </w:tr>
      <w:tr>
        <w:tc>
          <w:p/>
          <w:p>
            <w:pPr>
              <w:spacing w:after="0" w:before="0" w:lineRule="auto" w:line="276"/>
              <w:jc w:val="left"/>
            </w:pPr>
            <w:r>
              <w:rPr>
                <w:rFonts w:ascii="Times New Roman" w:hAnsi="Times New Roman" w:cs="Times New Roman" w:eastAsia="Times New Roman"/>
                <w:b w:val="false"/>
                <w:sz w:val="26"/>
              </w:rPr>
              <w:t>16/2013/TT-BTP</w:t>
            </w:r>
          </w:p>
        </w:tc>
        <w:tc>
          <w:p/>
          <w:p>
            <w:pPr>
              <w:spacing w:after="0" w:before="0" w:lineRule="auto" w:line="276"/>
              <w:jc w:val="left"/>
            </w:pPr>
            <w:r>
              <w:rPr>
                <w:rFonts w:ascii="Times New Roman" w:hAnsi="Times New Roman" w:cs="Times New Roman" w:eastAsia="Times New Roman"/>
                <w:b w:val="false"/>
                <w:sz w:val="26"/>
              </w:rPr>
              <w:t>Thông tư 16/2013/TT-BTP</w:t>
            </w:r>
          </w:p>
        </w:tc>
        <w:tc>
          <w:p/>
          <w:p>
            <w:pPr>
              <w:spacing w:after="0" w:before="0" w:lineRule="auto" w:line="276"/>
              <w:jc w:val="left"/>
            </w:pPr>
            <w:r>
              <w:rPr>
                <w:rFonts w:ascii="Times New Roman" w:hAnsi="Times New Roman" w:cs="Times New Roman" w:eastAsia="Times New Roman"/>
                <w:b w:val="false"/>
                <w:sz w:val="26"/>
              </w:rPr>
              <w:t>11-11-2013</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244/2016/TT-BTC</w:t>
            </w:r>
          </w:p>
        </w:tc>
        <w:tc>
          <w:p/>
          <w:p>
            <w:pPr>
              <w:spacing w:after="0" w:before="0" w:lineRule="auto" w:line="276"/>
              <w:jc w:val="left"/>
            </w:pPr>
            <w:r>
              <w:rPr>
                <w:rFonts w:ascii="Times New Roman" w:hAnsi="Times New Roman" w:cs="Times New Roman" w:eastAsia="Times New Roman"/>
                <w:b w:val="false"/>
                <w:sz w:val="26"/>
              </w:rPr>
              <w:t>Thông tư 244/2016/TT-BTC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2024-03-29T10:35:46Z</dcterms:created>
  <dc:creator>Apache POI</dc:creator>
</cp:coreProperties>
</file>