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2.000758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991/QĐ-BTP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Thay đổi nội dung đăng ký hoạt động của Văn phòng công chứng nhận sáp nhập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Trong thời hạn 15 ngày, kể từ ngày nhận được Quyết định cho phép sáp nhập, Văn phòng công chứng nhận sáp nhập phải thực hiện thay đổi nội dung đăng ký hoạt động theo quy định tại Điều 24 của Luật công chứng</w:t>
      </w:r>
    </w:p>
    <w:p>
      <w:pPr>
        <w:spacing w:after="0" w:before="0" w:lineRule="auto" w:line="276"/>
        <w:jc w:val="both"/>
      </w:pPr>
      <w:r>
        <w:rPr>
          <w:rFonts w:ascii="Times New Roman" w:hAnsi="Times New Roman" w:cs="Times New Roman" w:eastAsia="Times New Roman"/>
          <w:b w:val="false"/>
          <w:sz w:val="26"/>
        </w:rPr>
        <w:t>Văn phòng công chứng nhận sáp nhập nộp hồ sơ tại Sở Tư pháp nơi đăng ký hoạt động</w:t>
      </w:r>
    </w:p>
    <w:p>
      <w:pPr>
        <w:spacing w:after="0" w:before="0" w:lineRule="auto" w:line="276"/>
        <w:jc w:val="both"/>
      </w:pPr>
      <w:r>
        <w:rPr>
          <w:rFonts w:ascii="Times New Roman" w:hAnsi="Times New Roman" w:cs="Times New Roman" w:eastAsia="Times New Roman"/>
          <w:b w:val="false"/>
          <w:sz w:val="26"/>
        </w:rPr>
        <w:t>Sở Tư pháp xem xét, thay đổi nội dung đăng ký hoạt động của Văn phòng công chứng nhận sáp nhập, trường hợp từ chối phải thông báo bằng văn bản có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500000 Đồng</w:t>
              <w:t xml:space="preserve"> (Trường hợp thẩm định để cấp lại Giấy đăng ký hoạt động Văn phòng công chứng thì phí là 500.000 đồng)</w:t>
              <w:br/>
              <w:t>File đính kèm: VanBanGoc_257-2016-TT-BTC.pdf</w:t>
            </w:r>
          </w:p>
        </w:tc>
        <w:tc>
          <w:p/>
          <w:p>
            <w:pPr>
              <w:spacing w:after="0" w:before="0" w:lineRule="auto" w:line="276"/>
              <w:jc w:val="left"/>
            </w:pPr>
            <w:r>
              <w:rPr>
                <w:rFonts w:ascii="Times New Roman" w:hAnsi="Times New Roman" w:cs="Times New Roman" w:eastAsia="Times New Roman"/>
                <w:b w:val="false"/>
                <w:sz w:val="26"/>
              </w:rPr>
              <w:t>Trong thời hạn 07 ngày làm việc, kể từ ngày nhận đủ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500000 Đồng</w:t>
              <w:t xml:space="preserve"> (Trường hợp thẩm định để cấp lại Giấy đăng ký hoạt động Văn phòng công chứng thì phí là 500.000 đồng)</w:t>
            </w:r>
          </w:p>
        </w:tc>
        <w:tc>
          <w:p/>
          <w:p>
            <w:pPr>
              <w:spacing w:after="0" w:before="0" w:lineRule="auto" w:line="276"/>
              <w:jc w:val="left"/>
            </w:pPr>
            <w:r>
              <w:rPr>
                <w:rFonts w:ascii="Times New Roman" w:hAnsi="Times New Roman" w:cs="Times New Roman" w:eastAsia="Times New Roman"/>
                <w:b w:val="false"/>
                <w:sz w:val="26"/>
              </w:rPr>
              <w:t>Trong thời hạn 07 ngày làm việc, kể từ ngày nhận đủ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đề nghị thay đổi nội dung đăng ký hoạt động của Văn phòng công chứng theo Mẫu TP-CC-10 ban hành kèm theo Thông tư số 01/2021/TT-BTP ngày 03/02/2021 của Bộ trưởng Bộ Tư pháp quy định chi tiết một số điều và biện pháp thi hành Luật Công chứng;</w:t>
            </w:r>
          </w:p>
        </w:tc>
        <w:tc>
          <w:p/>
          <w:p>
            <w:pPr>
              <w:spacing w:after="0" w:before="0" w:lineRule="auto" w:line="276"/>
              <w:jc w:val="left"/>
            </w:pPr>
            <w:r>
              <w:rPr>
                <w:rFonts w:ascii="Times New Roman" w:hAnsi="Times New Roman" w:cs="Times New Roman" w:eastAsia="Times New Roman"/>
                <w:b w:val="false"/>
                <w:sz w:val="26"/>
              </w:rPr>
              <w:t>10.docx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Quyết định cho phép sáp nhập Văn phòng công chứng;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chứng minh về trụ sở của Văn phòng công chứng nhận sáp nhập;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đăng ký hành nghề của các công chứng viên đang hành nghề tại các Văn phòng công chứng bị sáp nhập.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đăng ký hoạt động của Văn phòng công chứng nhận sáp nhập đã được thay đổi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29/2015/NĐ-CP</w:t>
            </w:r>
          </w:p>
        </w:tc>
        <w:tc>
          <w:p/>
          <w:p>
            <w:pPr>
              <w:spacing w:after="0" w:before="0" w:lineRule="auto" w:line="276"/>
              <w:jc w:val="left"/>
            </w:pPr>
            <w:r>
              <w:rPr>
                <w:rFonts w:ascii="Times New Roman" w:hAnsi="Times New Roman" w:cs="Times New Roman" w:eastAsia="Times New Roman"/>
                <w:b w:val="false"/>
                <w:sz w:val="26"/>
              </w:rPr>
              <w:t>NGHỊ ĐỊNH  Quy định chi tiết và hướng dẫn thi hành một số điều của Luật Công chứng</w:t>
            </w:r>
          </w:p>
        </w:tc>
        <w:tc>
          <w:p/>
          <w:p>
            <w:pPr>
              <w:spacing w:after="0" w:before="0" w:lineRule="auto" w:line="276"/>
              <w:jc w:val="left"/>
            </w:pPr>
            <w:r>
              <w:rPr>
                <w:rFonts w:ascii="Times New Roman" w:hAnsi="Times New Roman" w:cs="Times New Roman" w:eastAsia="Times New Roman"/>
                <w:b w:val="false"/>
                <w:sz w:val="26"/>
              </w:rPr>
              <w:t>15-03-2015</w:t>
            </w:r>
          </w:p>
        </w:tc>
        <w:tc>
          <w:p/>
        </w:tc>
      </w:tr>
      <w:tr>
        <w:tc>
          <w:p/>
          <w:p>
            <w:pPr>
              <w:spacing w:after="0" w:before="0" w:lineRule="auto" w:line="276"/>
              <w:jc w:val="left"/>
            </w:pPr>
            <w:r>
              <w:rPr>
                <w:rFonts w:ascii="Times New Roman" w:hAnsi="Times New Roman" w:cs="Times New Roman" w:eastAsia="Times New Roman"/>
                <w:b w:val="false"/>
                <w:sz w:val="26"/>
              </w:rPr>
              <w:t>257/2016/TT-BTC</w:t>
            </w:r>
          </w:p>
        </w:tc>
        <w:tc>
          <w:p/>
          <w:p>
            <w:pPr>
              <w:spacing w:after="0" w:before="0" w:lineRule="auto" w:line="276"/>
              <w:jc w:val="left"/>
            </w:pPr>
            <w:r>
              <w:rPr>
                <w:rFonts w:ascii="Times New Roman" w:hAnsi="Times New Roman" w:cs="Times New Roman" w:eastAsia="Times New Roman"/>
                <w:b w:val="false"/>
                <w:sz w:val="26"/>
              </w:rPr>
              <w:t>Thông tư 257/2016/TT-BTC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53/2014/QH13</w:t>
            </w:r>
          </w:p>
        </w:tc>
        <w:tc>
          <w:p/>
          <w:p>
            <w:pPr>
              <w:spacing w:after="0" w:before="0" w:lineRule="auto" w:line="276"/>
              <w:jc w:val="left"/>
            </w:pPr>
            <w:r>
              <w:rPr>
                <w:rFonts w:ascii="Times New Roman" w:hAnsi="Times New Roman" w:cs="Times New Roman" w:eastAsia="Times New Roman"/>
                <w:b w:val="false"/>
                <w:sz w:val="26"/>
              </w:rPr>
              <w:t>Luật 53/2014/QH13 - Công chứng</w:t>
            </w:r>
          </w:p>
        </w:tc>
        <w:tc>
          <w:p/>
          <w:p>
            <w:pPr>
              <w:spacing w:after="0" w:before="0" w:lineRule="auto" w:line="276"/>
              <w:jc w:val="left"/>
            </w:pPr>
            <w:r>
              <w:rPr>
                <w:rFonts w:ascii="Times New Roman" w:hAnsi="Times New Roman" w:cs="Times New Roman" w:eastAsia="Times New Roman"/>
                <w:b w:val="false"/>
                <w:sz w:val="26"/>
              </w:rPr>
              <w:t>20-06-2014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01/2021/TT-BTP</w:t>
            </w:r>
          </w:p>
        </w:tc>
        <w:tc>
          <w:p/>
          <w:p>
            <w:pPr>
              <w:spacing w:after="0" w:before="0" w:lineRule="auto" w:line="276"/>
              <w:jc w:val="left"/>
            </w:pPr>
            <w:r>
              <w:rPr>
                <w:rFonts w:ascii="Times New Roman" w:hAnsi="Times New Roman" w:cs="Times New Roman" w:eastAsia="Times New Roman"/>
                <w:b w:val="false"/>
                <w:sz w:val="26"/>
              </w:rPr>
              <w:t>Thông tư 01/2021/TT-BTP</w:t>
            </w:r>
          </w:p>
        </w:tc>
        <w:tc>
          <w:p/>
          <w:p>
            <w:pPr>
              <w:spacing w:after="0" w:before="0" w:lineRule="auto" w:line="276"/>
              <w:jc w:val="left"/>
            </w:pPr>
            <w:r>
              <w:rPr>
                <w:rFonts w:ascii="Times New Roman" w:hAnsi="Times New Roman" w:cs="Times New Roman" w:eastAsia="Times New Roman"/>
                <w:b w:val="false"/>
                <w:sz w:val="26"/>
              </w:rPr>
              <w:t>03-02-2021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Trong thời hạn 15 ngày, kể từ ngày nhận được Quyết định cho phép sáp nhập, Văn phòng công chứng nhận sáp nhập phải thực hiện thay đổi nội dung đăng ký hoạt động theo quy định tại Điều 24 của Luật Công chứng.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2024-03-29T07:53:35Z</dcterms:created>
  <dc:creator>Apache POI</dc:creator>
</cp:coreProperties>
</file>