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2.000794.000.00.00.H47</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1366/QĐ-UBND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Thủ tục công nhận câu lạc bộ thể thao cơ sở</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Xã</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không được luật giao cho địa phương quy định hoặc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Thể dục thể thao</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Ủy ban nhân dân xã tiếp nhận hồ sơ đề nghị công nhận của câu lạc bộ thể thao cơ sở.</w:t>
      </w:r>
    </w:p>
    <w:p>
      <w:pPr>
        <w:shd w:val="clear" w:color="auto" w:fill="F2F6F9"/>
        <w:spacing w:after="0" w:before="120" w:lineRule="auto" w:line="276"/>
        <w:jc w:val="both"/>
      </w:pPr>
      <w:r>
        <w:rPr>
          <w:rFonts w:ascii="Times New Roman" w:hAnsi="Times New Roman" w:cs="Times New Roman" w:eastAsia="Times New Roman"/>
          <w:b w:val="true"/>
          <w:sz w:val="26"/>
        </w:rPr>
        <w:t>Trong thời hạn 07 ngày làm việc sau khi nhận đủ hồ sơ hợp lệ,</w:t>
      </w:r>
    </w:p>
    <w:p>
      <w:pPr>
        <w:spacing w:after="0" w:before="0" w:lineRule="auto" w:line="276"/>
        <w:jc w:val="both"/>
      </w:pPr>
      <w:r>
        <w:rPr>
          <w:rFonts w:ascii="Times New Roman" w:hAnsi="Times New Roman" w:cs="Times New Roman" w:eastAsia="Times New Roman"/>
          <w:b w:val="false"/>
          <w:sz w:val="26"/>
        </w:rPr>
        <w:t>Chủ tịch Ủy ban nhân dân cấp xã ra quyết định công nhận, trường hợp không công nhận thì phải có văn bản nêu rõ lý do, nếu không đáp ứng các điều kiện thì phải trả lời bằng văn bản</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7 Ngày</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07 ngày làm việc kể từ ngày nhận đủ hồ sơ hợp lệ.</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Quyết định thành lập;</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Danh sách Ban chủ nhiệm</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Danh sách hội viên</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Địa điểm luyện tập;</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Quy chế hoạt động.</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Doanh nghiệp, Doanh nghiệp có vốn đầu tư nước ngoài, Tổ chức (không bao gồm doanh nghiệp, HTX)</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Sở Văn hóa, Thể thao và Du lịch tỉnh Quảng Nam, Uỷ ban Nhân dân cấp xã, phường, thị trấn</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Chủ tịch Ủy ban nhân dân cấp huyện</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Ủy ban nhân dân cấp xã</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Quyết định công nhận câu lạc bộ thể thao cơ sở</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77/2006/QH11</w:t>
            </w:r>
          </w:p>
        </w:tc>
        <w:tc>
          <w:p/>
          <w:p>
            <w:pPr>
              <w:spacing w:after="0" w:before="0" w:lineRule="auto" w:line="276"/>
              <w:jc w:val="left"/>
            </w:pPr>
            <w:r>
              <w:rPr>
                <w:rFonts w:ascii="Times New Roman" w:hAnsi="Times New Roman" w:cs="Times New Roman" w:eastAsia="Times New Roman"/>
                <w:b w:val="false"/>
                <w:sz w:val="26"/>
              </w:rPr>
              <w:t>Luật 77/2006/QH11</w:t>
            </w:r>
          </w:p>
        </w:tc>
        <w:tc>
          <w:p/>
          <w:p>
            <w:pPr>
              <w:spacing w:after="0" w:before="0" w:lineRule="auto" w:line="276"/>
              <w:jc w:val="left"/>
            </w:pPr>
            <w:r>
              <w:rPr>
                <w:rFonts w:ascii="Times New Roman" w:hAnsi="Times New Roman" w:cs="Times New Roman" w:eastAsia="Times New Roman"/>
                <w:b w:val="false"/>
                <w:sz w:val="26"/>
              </w:rPr>
              <w:t>11-11-2006</w:t>
            </w:r>
          </w:p>
        </w:tc>
        <w:tc>
          <w:p/>
          <w:p>
            <w:pPr>
              <w:spacing w:after="0" w:before="0" w:lineRule="auto" w:line="276"/>
              <w:jc w:val="left"/>
            </w:pPr>
            <w:r>
              <w:rPr>
                <w:rFonts w:ascii="Times New Roman" w:hAnsi="Times New Roman" w:cs="Times New Roman" w:eastAsia="Times New Roman"/>
                <w:b w:val="false"/>
                <w:sz w:val="26"/>
              </w:rPr>
              <w:t>Quốc Hội</w:t>
            </w:r>
          </w:p>
        </w:tc>
      </w:tr>
      <w:tr>
        <w:tc>
          <w:p/>
          <w:p>
            <w:pPr>
              <w:spacing w:after="0" w:before="0" w:lineRule="auto" w:line="276"/>
              <w:jc w:val="left"/>
            </w:pPr>
            <w:r>
              <w:rPr>
                <w:rFonts w:ascii="Times New Roman" w:hAnsi="Times New Roman" w:cs="Times New Roman" w:eastAsia="Times New Roman"/>
                <w:b w:val="false"/>
                <w:sz w:val="26"/>
              </w:rPr>
              <w:t>112/2007/NĐ-CP</w:t>
            </w:r>
          </w:p>
        </w:tc>
        <w:tc>
          <w:p/>
          <w:p>
            <w:pPr>
              <w:spacing w:after="0" w:before="0" w:lineRule="auto" w:line="276"/>
              <w:jc w:val="left"/>
            </w:pPr>
            <w:r>
              <w:rPr>
                <w:rFonts w:ascii="Times New Roman" w:hAnsi="Times New Roman" w:cs="Times New Roman" w:eastAsia="Times New Roman"/>
                <w:b w:val="false"/>
                <w:sz w:val="26"/>
              </w:rPr>
              <w:t>Nghị định 112/2007/NĐ-CP</w:t>
            </w:r>
          </w:p>
        </w:tc>
        <w:tc>
          <w:p/>
          <w:p>
            <w:pPr>
              <w:spacing w:after="0" w:before="0" w:lineRule="auto" w:line="276"/>
              <w:jc w:val="left"/>
            </w:pPr>
            <w:r>
              <w:rPr>
                <w:rFonts w:ascii="Times New Roman" w:hAnsi="Times New Roman" w:cs="Times New Roman" w:eastAsia="Times New Roman"/>
                <w:b w:val="false"/>
                <w:sz w:val="26"/>
              </w:rPr>
              <w:t>26-06-2007</w:t>
            </w:r>
          </w:p>
        </w:tc>
        <w:tc>
          <w:p/>
          <w:p>
            <w:pPr>
              <w:spacing w:after="0" w:before="0" w:lineRule="auto" w:line="276"/>
              <w:jc w:val="left"/>
            </w:pPr>
            <w:r>
              <w:rPr>
                <w:rFonts w:ascii="Times New Roman" w:hAnsi="Times New Roman" w:cs="Times New Roman" w:eastAsia="Times New Roman"/>
                <w:b w:val="false"/>
                <w:sz w:val="26"/>
              </w:rPr>
              <w:t>Chính phủ</w:t>
            </w:r>
          </w:p>
        </w:tc>
      </w:tr>
      <w:tr>
        <w:tc>
          <w:p/>
          <w:p>
            <w:pPr>
              <w:spacing w:after="0" w:before="0" w:lineRule="auto" w:line="276"/>
              <w:jc w:val="left"/>
            </w:pPr>
            <w:r>
              <w:rPr>
                <w:rFonts w:ascii="Times New Roman" w:hAnsi="Times New Roman" w:cs="Times New Roman" w:eastAsia="Times New Roman"/>
                <w:b w:val="false"/>
                <w:sz w:val="26"/>
              </w:rPr>
              <w:t>18/2011/TT-BVHTTDL</w:t>
            </w:r>
          </w:p>
        </w:tc>
        <w:tc>
          <w:p/>
          <w:p>
            <w:pPr>
              <w:spacing w:after="0" w:before="0" w:lineRule="auto" w:line="276"/>
              <w:jc w:val="left"/>
            </w:pPr>
            <w:r>
              <w:rPr>
                <w:rFonts w:ascii="Times New Roman" w:hAnsi="Times New Roman" w:cs="Times New Roman" w:eastAsia="Times New Roman"/>
                <w:b w:val="false"/>
                <w:sz w:val="26"/>
              </w:rPr>
              <w:t>Thông tư 18/2011/TT-BVHTTDL</w:t>
            </w:r>
          </w:p>
        </w:tc>
        <w:tc>
          <w:p/>
          <w:p>
            <w:pPr>
              <w:spacing w:after="0" w:before="0" w:lineRule="auto" w:line="276"/>
              <w:jc w:val="left"/>
            </w:pPr>
            <w:r>
              <w:rPr>
                <w:rFonts w:ascii="Times New Roman" w:hAnsi="Times New Roman" w:cs="Times New Roman" w:eastAsia="Times New Roman"/>
                <w:b w:val="false"/>
                <w:sz w:val="26"/>
              </w:rPr>
              <w:t>02-12-2011</w:t>
            </w:r>
          </w:p>
        </w:tc>
        <w:tc>
          <w:p/>
          <w:p>
            <w:pPr>
              <w:spacing w:after="0" w:before="0" w:lineRule="auto" w:line="276"/>
              <w:jc w:val="left"/>
            </w:pPr>
            <w:r>
              <w:rPr>
                <w:rFonts w:ascii="Times New Roman" w:hAnsi="Times New Roman" w:cs="Times New Roman" w:eastAsia="Times New Roman"/>
                <w:b w:val="false"/>
                <w:sz w:val="26"/>
              </w:rPr>
              <w:t>Bộ Văn hóa, Thể thao và Du lịch</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2024-03-28T09:26:40Z</dcterms:created>
  <dc:creator>Apache POI</dc:creator>
</cp:coreProperties>
</file>