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2.000831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chứng văn bản khai nhận di sản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Nộp hồ sơ yêu cầu công chứng tại tổ chức hành nghề công chứng;</w:t>
      </w:r>
    </w:p>
    <w:p>
      <w:pPr>
        <w:spacing w:after="0" w:before="0" w:lineRule="auto" w:line="276"/>
        <w:jc w:val="both"/>
      </w:pPr>
      <w:r>
        <w:rPr>
          <w:rFonts w:ascii="Times New Roman" w:hAnsi="Times New Roman" w:cs="Times New Roman" w:eastAsia="Times New Roman"/>
          <w:b w:val="false"/>
          <w:sz w:val="26"/>
        </w:rPr>
        <w:t>Người duy nhất được hưởng di sản theo pháp luật hoặc những người cùng được hưởng di sản theo pháp luật nhưng thỏa thuận không phân chia di sản đó có quyền yêu cầu công chứng văn bản khai nhận di sản;</w:t>
      </w:r>
    </w:p>
    <w:p>
      <w:pPr>
        <w:spacing w:after="0" w:before="0" w:lineRule="auto" w:line="276"/>
        <w:jc w:val="both"/>
      </w:pPr>
      <w:r>
        <w:rPr>
          <w:rFonts w:ascii="Times New Roman" w:hAnsi="Times New Roman" w:cs="Times New Roman" w:eastAsia="Times New Roman"/>
          <w:b w:val="false"/>
          <w:sz w:val="26"/>
        </w:rPr>
        <w:t>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pPr>
        <w:spacing w:after="0" w:before="0" w:lineRule="auto" w:line="276"/>
        <w:jc w:val="both"/>
      </w:pPr>
      <w:r>
        <w:rPr>
          <w:rFonts w:ascii="Times New Roman" w:hAnsi="Times New Roman" w:cs="Times New Roman" w:eastAsia="Times New Roman"/>
          <w:b w:val="false"/>
          <w:sz w:val="26"/>
        </w:rPr>
        <w:t>Trường hợp hồ sơ yêu cầu công chứng đầy đủ, phù hợp với quy định của pháp luật thì thụ lý, ghi vào sổ công chứng;</w:t>
      </w:r>
    </w:p>
    <w:p>
      <w:pPr>
        <w:spacing w:after="0" w:before="0" w:lineRule="auto" w:line="276"/>
        <w:jc w:val="both"/>
      </w:pPr>
      <w:r>
        <w:rPr>
          <w:rFonts w:ascii="Times New Roman" w:hAnsi="Times New Roman" w:cs="Times New Roman" w:eastAsia="Times New Roman"/>
          <w:b w:val="false"/>
          <w:sz w:val="26"/>
        </w:rPr>
        <w:t xml:space="preserve">Tổ chức hành nghề công chứng có trách nhiệm niêm yết việc thụ lý công chứng văn bản khai nhận di sản trước khi thực hiện việc công chứng.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Thông tư số 257/2016/TT-BTC, cụ thể như sau: Mức phí công chứng văn bản khai nhận di sản (tính trên giá trị di sản): TT	Giá trị tài sản hoặc giá trị hợp đồng, giao dịch	Mức thu (đồng/trường hợp) 1	Dưới 50 triệu đồng	50 nghìn 2	Từ 50 triệu đồng đến 100 triệu đồng	100 nghìn 3	Từ trên 100 triệu đồng đến 01 tỷ đồng 0,1% giá trị tài sản hoặc giá trị hợp đồng, giao dịch 4	Từ trên 01 tỷ đồng đến 03 tỷ đồng	01 triệu đồng + 0,06% của phần giá trị tài sản hoặc giá trị hợp đồng, giao dịch vượt quá 01 tỷ đồng 5	Từ trên 03 tỷ đồng đến 05 tỷ đồng	2,2 triệu đồng + 0,05% của phần giá trị tài sản hoặc giá trị hợp đồng, giao dịch vượt quá 03 tỷ đồng 6	Từ trên 05 tỷ đồng đến 10 tỷ đồng	3,2 triệu đồng + 0,04% của phần giá trị tài sản hoặc giá trị hợp đồng, giao dịch vượt quá 05 tỷ đồng 7	Từ trên 10 tỷ đồng đến 100 tỷ đồng	5,2 triệu đồng + 0,03% của phần giá trị tài sản hoặc giá trị hợp đồng, giao dịch vượt quá 10 tỷ đồng. 8	Trên 100 tỷ đồng	32,2 triệu đồng + 0,02% của phần giá trị tài sản hoặc giá trị hợp đồng, giao dịch vượt quá 100 tỷ đồng (mức thu tối đa là 70 triệu đồng/trường hợp). Đối với các hợp đồng, giao dịch về quyền sử dụng đất, tài sản có giá quy định của cơ quan nhà nước có thẩm quyền thì giá trị quyền sử dụng đất, giá trị tài sản tính phí công chứng được xác định theo thoả thuận của các bên trong hợp đồng, giao dịch đó; trường hợp giá đất, giá tài sản do các bên thoả thuận thấp hơn mức giá do cơ quan nhà nước có thẩm quyền quy định áp dụng tại thời điểm công chứng thì giá trị tính phí công chứng tính như sau: Giá trị quyền sử dụng đất, giá trị tài sản tính phí công chứng = Diện tích đất, số lượng tài sản ghi trong hợp đồng, giao dịch (x) Giá đất, giá tài sản do cơ quan nhà nước có thẩm quyền quy định.)</w:t>
              <w:br/>
              <w:t>File đính kèm: VanBanGoc_257-2016-TT-BTC.pdf</w:t>
            </w:r>
          </w:p>
        </w:tc>
        <w:tc>
          <w:p/>
          <w:p>
            <w:pPr>
              <w:spacing w:after="0" w:before="0" w:lineRule="auto" w:line="276"/>
              <w:jc w:val="left"/>
            </w:pPr>
            <w:r>
              <w:rPr>
                <w:rFonts w:ascii="Times New Roman" w:hAnsi="Times New Roman" w:cs="Times New Roman" w:eastAsia="Times New Roman"/>
                <w:b w:val="false"/>
                <w:sz w:val="26"/>
              </w:rPr>
              <w:t>Thời hạn công chứng không quá 02 ngày làm việc; đối với hợp đồng, giao dịch có nội dung phức tạp thì thời hạn công chứng có thể kéo dài hơn nhưng không quá 10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yêu cầu công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văn bản khai nhận di sản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tùy thân;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tờ chứng minh quan hệ giữa người để lại di sản và người được hưởng di sản theo quy định của pháp luật về thừa kế.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nêu trên là bản chụp, bản in, bản đánh máy hoặc bản đánh máy vi tính nhưng phải có nội dung đầy đủ, chính xác như bản chính và không phải có chứng thực. Khi nộp bản sao thì  phải xuất trình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Tổ chức hành nghề công chứng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công chứng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257/2016/TT-BTC</w:t>
            </w:r>
          </w:p>
        </w:tc>
        <w:tc>
          <w:p/>
          <w:p>
            <w:pPr>
              <w:spacing w:after="0" w:before="0" w:lineRule="auto" w:line="276"/>
              <w:jc w:val="left"/>
            </w:pPr>
            <w:r>
              <w:rPr>
                <w:rFonts w:ascii="Times New Roman" w:hAnsi="Times New Roman" w:cs="Times New Roman" w:eastAsia="Times New Roman"/>
                <w:b w:val="false"/>
                <w:sz w:val="26"/>
              </w:rPr>
              <w:t>Thông tư 257/2016/TT-BTC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Tổ chức hành nghề công chứng có trách nhiệm niêm yết việc thụ lý công chứng văn bản thỏa thuận phân chia di sản trước khi thực hiện việc công chứng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2024-03-28T20:37:10Z</dcterms:created>
  <dc:creator>Apache POI</dc:creator>
</cp:coreProperties>
</file>