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2.000953.000.00.00.H56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3616/QĐ-UBND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Xác nhận đề án bảo vệ môi trường đơn giản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Môi trường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Chuẩn bị hồ sơ: Cơ sở sản xuất, kinh doanh, dịch vụ chuẩn bị hồ sơ đầy đủ, hợp lệ theo quy định của pháp luật.</w:t>
      </w:r>
    </w:p>
    <w:p>
      <w:pPr>
        <w:spacing w:after="0" w:before="0" w:lineRule="auto" w:line="276"/>
        <w:jc w:val="both"/>
      </w:pPr>
      <w:r>
        <w:rPr>
          <w:rFonts w:ascii="Times New Roman" w:hAnsi="Times New Roman" w:cs="Times New Roman" w:eastAsia="Times New Roman"/>
          <w:b w:val="false"/>
          <w:sz w:val="26"/>
        </w:rPr>
        <w:t>Bước 2. Tiếp nhận hồ sơ:
1. Địa điểm tiếp nhận: Bộ phận tiếp nhận hồ sơ và trả kết quả thuộc Văn phòng HĐND và UBND cấp huyện.
2. Thời gian tiếp nhận:
Trong giờ hành chính các ngày làm việc từ thứ 2 đến thứ 6 hàng tuần (trừ các ngày nghỉ Lễ, Tết theo quy định).
3. Những điểm cần lưu ý khi tiếp nhận hồ sơ:
a) Đối với cá nhân, tổ chức: Không.
b) Đối với cơ quan tiếp nhận hồ sơ: Cấp giấy biên nhận hồ sơ cho người nộp.</w:t>
      </w:r>
    </w:p>
    <w:p>
      <w:pPr>
        <w:spacing w:after="0" w:before="0" w:lineRule="auto" w:line="276"/>
        <w:jc w:val="both"/>
      </w:pPr>
      <w:r>
        <w:rPr>
          <w:rFonts w:ascii="Times New Roman" w:hAnsi="Times New Roman" w:cs="Times New Roman" w:eastAsia="Times New Roman"/>
          <w:b w:val="false"/>
          <w:sz w:val="26"/>
        </w:rPr>
        <w:t>Bước 3. Xử lý hồ sơ:
- Trong thời hạn mười (10) ngày làm việc, kể từ ngày nhận đủ hồ sơ đề nghị đăng ký xác nhận đề án đơn giản, Ủy ban nhân dân cấp huyện xác nhận bằng văn bản theo mẫu quy định tại Phụ lục 15 ban hành kèm theo Thông tư này. Trường hợp chưa xác nhận, Ủy ban nhân dân cấp huyện xác nhận thông báo bằng văn bản và nêu rõ lý do.
- Ủy ban nhân dân cấp huyện gửi một (01) bản giấy xác nhận kèm theo đề án đơn giản đã xác nhận cho chủ cơ sở; gửi một (01) bản giấy xác nhận đề án cho Sở Tài nguyên và Môi trường, Ủy ban nhân dân cấp xã nơi cơ sở hoạt động.</w:t>
      </w:r>
    </w:p>
    <w:p>
      <w:pPr>
        <w:spacing w:after="0" w:before="0" w:lineRule="auto" w:line="276"/>
        <w:jc w:val="both"/>
      </w:pPr>
      <w:r>
        <w:rPr>
          <w:rFonts w:ascii="Times New Roman" w:hAnsi="Times New Roman" w:cs="Times New Roman" w:eastAsia="Times New Roman"/>
          <w:b w:val="false"/>
          <w:sz w:val="26"/>
        </w:rPr>
        <w:t>Bước 4. Trả kết quả:
1. Địa điểm trả: Bộ phận tiếp nhận hồ sơ và trả kết quả thuộc Văn phòng HĐND và UBND cấp huyện.
2. Thời gian trả: Trong giờ hành chính các ngày làm việc từ thứ 2 đến thứ 6 hàng tuần (trừ ngày nghỉ Lễ, Tết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mười (10) ngày làm việc, kể từ ngày nhận đủ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Một (01) văn bản đăng ký đề án đơn giản của chủ cơ sở theo mẫu quy định tại Phụ lục 13 ban hành kèm theo Thông tư 26/2015/TT-BTNMT;</w:t>
            </w:r>
          </w:p>
        </w:tc>
        <w:tc>
          <w:p/>
          <w:p>
            <w:pPr>
              <w:spacing w:after="0" w:before="0" w:lineRule="auto" w:line="276"/>
              <w:jc w:val="left"/>
            </w:pPr>
            <w:r>
              <w:rPr>
                <w:rFonts w:ascii="Times New Roman" w:hAnsi="Times New Roman" w:cs="Times New Roman" w:eastAsia="Times New Roman"/>
                <w:b w:val="false"/>
                <w:sz w:val="26"/>
              </w:rPr>
              <w:t>Phụ lục 13. Van ban de nghi xac nhan de an BVMT don gian.doc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Ba (03) bản đề án đơn giản; trường hợp cần thiết theo yêu cầu của cơ quan có thẩm quyền, chủ cơ sở có trách nhiệm gửi bổ sung số lượng bản đề án đơn giản theo yêu cầu. Bìa, phụ bìa, nội dung và cấu trúc của đề án đơn giản được quy định tại Phụ lục 14b ban hành kèm theo Thông tư 26/2015/TT-BTNMT.</w:t>
            </w:r>
          </w:p>
        </w:tc>
        <w:tc>
          <w:p/>
          <w:p>
            <w:pPr>
              <w:spacing w:after="0" w:before="0" w:lineRule="auto" w:line="276"/>
              <w:jc w:val="left"/>
            </w:pPr>
            <w:r>
              <w:rPr>
                <w:rFonts w:ascii="Times New Roman" w:hAnsi="Times New Roman" w:cs="Times New Roman" w:eastAsia="Times New Roman"/>
                <w:b w:val="false"/>
                <w:sz w:val="26"/>
              </w:rPr>
              <w:t>Phụ lục 14. bao,cau truc Đề an BVMT don gian.doc</w:t>
            </w:r>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xml:space="preserve">Bộ phận tiếp nhận hồ sơ và trả kết quả, Văn phòng HĐND và UBND cấp huyện. </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đăng ký đề án bảo vệ môi trường đơn giản theo mẫu quy định tại Phụ lục 15 ban hành kèm theo Thông tư số 26/2015/TT-BTNMT.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18/2015/NĐ-CP</w:t>
            </w:r>
          </w:p>
        </w:tc>
        <w:tc>
          <w:p/>
          <w:p>
            <w:pPr>
              <w:spacing w:after="0" w:before="0" w:lineRule="auto" w:line="276"/>
              <w:jc w:val="left"/>
            </w:pPr>
            <w:r>
              <w:rPr>
                <w:rFonts w:ascii="Times New Roman" w:hAnsi="Times New Roman" w:cs="Times New Roman" w:eastAsia="Times New Roman"/>
                <w:b w:val="false"/>
                <w:sz w:val="26"/>
              </w:rPr>
              <w:t>Nghị định 18/2015/NĐ-CP</w:t>
            </w:r>
          </w:p>
        </w:tc>
        <w:tc>
          <w:p/>
          <w:p>
            <w:pPr>
              <w:spacing w:after="0" w:before="0" w:lineRule="auto" w:line="276"/>
              <w:jc w:val="left"/>
            </w:pPr>
            <w:r>
              <w:rPr>
                <w:rFonts w:ascii="Times New Roman" w:hAnsi="Times New Roman" w:cs="Times New Roman" w:eastAsia="Times New Roman"/>
                <w:b w:val="false"/>
                <w:sz w:val="26"/>
              </w:rPr>
              <w:t>14-02-2015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26/2015/TT-BTNMT</w:t>
            </w:r>
          </w:p>
        </w:tc>
        <w:tc>
          <w:p/>
          <w:p>
            <w:pPr>
              <w:spacing w:after="0" w:before="0" w:lineRule="auto" w:line="276"/>
              <w:jc w:val="left"/>
            </w:pPr>
            <w:r>
              <w:rPr>
                <w:rFonts w:ascii="Times New Roman" w:hAnsi="Times New Roman" w:cs="Times New Roman" w:eastAsia="Times New Roman"/>
                <w:b w:val="false"/>
                <w:sz w:val="26"/>
              </w:rPr>
              <w:t>Thông tư 26/2015/TT-BTNMT</w:t>
            </w:r>
          </w:p>
        </w:tc>
        <w:tc>
          <w:p/>
          <w:p>
            <w:pPr>
              <w:spacing w:after="0" w:before="0" w:lineRule="auto" w:line="276"/>
              <w:jc w:val="left"/>
            </w:pPr>
            <w:r>
              <w:rPr>
                <w:rFonts w:ascii="Times New Roman" w:hAnsi="Times New Roman" w:cs="Times New Roman" w:eastAsia="Times New Roman"/>
                <w:b w:val="false"/>
                <w:sz w:val="26"/>
              </w:rPr>
              <w:t>28-05-2015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55/2014/QH13</w:t>
            </w:r>
          </w:p>
        </w:tc>
        <w:tc>
          <w:p/>
          <w:p>
            <w:pPr>
              <w:spacing w:after="0" w:before="0" w:lineRule="auto" w:line="276"/>
              <w:jc w:val="left"/>
            </w:pPr>
            <w:r>
              <w:rPr>
                <w:rFonts w:ascii="Times New Roman" w:hAnsi="Times New Roman" w:cs="Times New Roman" w:eastAsia="Times New Roman"/>
                <w:b w:val="false"/>
                <w:sz w:val="26"/>
              </w:rPr>
              <w:t>Luật 55/2014/QH13</w:t>
            </w:r>
          </w:p>
        </w:tc>
        <w:tc>
          <w:p/>
          <w:p>
            <w:pPr>
              <w:spacing w:after="0" w:before="0" w:lineRule="auto" w:line="276"/>
              <w:jc w:val="left"/>
            </w:pPr>
            <w:r>
              <w:rPr>
                <w:rFonts w:ascii="Times New Roman" w:hAnsi="Times New Roman" w:cs="Times New Roman" w:eastAsia="Times New Roman"/>
                <w:b w:val="false"/>
                <w:sz w:val="26"/>
              </w:rPr>
              <w:t>23-06-2014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57/2010/QH12</w:t>
            </w:r>
          </w:p>
        </w:tc>
        <w:tc>
          <w:p/>
          <w:p>
            <w:pPr>
              <w:spacing w:after="0" w:before="0" w:lineRule="auto" w:line="276"/>
              <w:jc w:val="left"/>
            </w:pPr>
            <w:r>
              <w:rPr>
                <w:rFonts w:ascii="Times New Roman" w:hAnsi="Times New Roman" w:cs="Times New Roman" w:eastAsia="Times New Roman"/>
                <w:b w:val="false"/>
                <w:sz w:val="26"/>
              </w:rPr>
              <w:t>Luật 57/2010/QH12</w:t>
            </w:r>
          </w:p>
        </w:tc>
        <w:tc>
          <w:p/>
          <w:p>
            <w:pPr>
              <w:spacing w:after="0" w:before="0" w:lineRule="auto" w:line="276"/>
              <w:jc w:val="left"/>
            </w:pPr>
            <w:r>
              <w:rPr>
                <w:rFonts w:ascii="Times New Roman" w:hAnsi="Times New Roman" w:cs="Times New Roman" w:eastAsia="Times New Roman"/>
                <w:b w:val="false"/>
                <w:sz w:val="26"/>
              </w:rPr>
              <w:t>15-11-2010</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2024-03-29T10:50:34Z</dcterms:created>
  <dc:creator>Apache POI</dc:creator>
</cp:coreProperties>
</file>