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2.000976.000.00.00.H32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thay đổi tài sản gắn liền với đất vào Giấy chứng nhận đã cấp (cấp tỉnh - trường hợp đã thành lập VP đăng ký đất đai)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 Người đề nghị cấp giấy chứng nhận nộp hồ sơ tại Văn phòng đăng ký đất đai hoặc cơ quan tiếp nhận hồ sơ theo quy định của Ủy ban nhân dân tỉnh, thành phố trực thuộc Trung ương.
Hộ gia đình, cá nhân, cộng đồng dân cư nộp hồ sơ tại Ủy ban nhân dân cấp xã nếu có nhu cầu.
Trường hợp nhận hồ sơ chưa đầy đủ, chưa hợp lệ thì trong thời gian tối đa 03 ngày, cơ quan tiếp nhận, xử lý hồ sơ phải thông báo và hướng dẫn người nộp hồ sơ bổ sung, hoàn chỉnh hồ sơ theo quy định.</w:t>
      </w:r>
    </w:p>
    <w:p>
      <w:pPr>
        <w:spacing w:after="0" w:before="0" w:lineRule="auto" w:line="276"/>
        <w:jc w:val="both"/>
      </w:pPr>
      <w:r>
        <w:rPr>
          <w:rFonts w:ascii="Times New Roman" w:hAnsi="Times New Roman" w:cs="Times New Roman" w:eastAsia="Times New Roman"/>
          <w:b w:val="false"/>
          <w:sz w:val="26"/>
        </w:rPr>
        <w:t>(2) Cơ quan tiếp nhận hồ sơ ghi đầy đủ thông tin vào Sổ tiếp nhận hồ sơ và trả kết quả, trao Phiếu tiếp nhận hồ sơ và trả kết quả cho người nộp hồ sơ.
- Trường hợp nộp hồ sơ tại Ủy ban nhân dân cấp xã thì Ủy ban nhân dân cấp xã có trách nhiệm thực hiện: Kiểm tra hồ sơ; xác nhận hiện trạng tài sản gắn liền với đất so với nội dung kê khai đăng ký;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Văn phòng đăng ký đất đai.
- Trường hợp nộp tại Văn phòng đăng ký đất đai thì Văn phòng đăng ký đất đai thực hiện các công việc như sau:
+ Gửi hồ sơ đến Ủy ban nhân dân cấp xã để lấy ý kiến xác nhận đối với trường hợp hộ gia đình, cá nhân, cộng đồng dân nộp hồ sơ tại Văn phòng đăng ký đất đai (xác nhận hiện trạng tài sản gắn liền với đất so với nội dung kê khai đăng ký;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 Kiểm tra, xác nhận sơ đồ tài sản gắn liền với đất đối với tổ chức trong nước, cơ sở tôn giáo, 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
+ Gửi phiếu lấy ý kiến cơ quan quản lý nhà nước đối với loại tài sản đăng ký đối với trường hợp chủ sở hữu tài sản gắn liền với đất không có giấy tờ hoặc hiện trạng tài sản có thay đổi so với giấy tờ theo quy định. Cơ quan quản lý nhà nước đối với tài sản gắn liền với đất có trách nhiệm trả lời bằng văn bản cho Văn phòng đăng ký đất đai trong thời hạn không quá 5 ngày làm việc.</w:t>
      </w:r>
    </w:p>
    <w:p>
      <w:pPr>
        <w:spacing w:after="0" w:before="0" w:lineRule="auto" w:line="276"/>
        <w:jc w:val="both"/>
      </w:pPr>
      <w:r>
        <w:rPr>
          <w:rFonts w:ascii="Times New Roman" w:hAnsi="Times New Roman" w:cs="Times New Roman" w:eastAsia="Times New Roman"/>
          <w:b w:val="false"/>
          <w:sz w:val="26"/>
        </w:rPr>
        <w:t>(3) Văn phòng đăng ký đất đai thực hiện các công việc như sau:
- Cập nhật thông tin vào hồ sơ địa chính, cơ sở dữ liệu đất đai (nếu có);
-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pPr>
        <w:spacing w:after="0" w:before="0" w:lineRule="auto" w:line="276"/>
        <w:jc w:val="both"/>
      </w:pPr>
      <w:r>
        <w:rPr>
          <w:rFonts w:ascii="Times New Roman" w:hAnsi="Times New Roman" w:cs="Times New Roman" w:eastAsia="Times New Roman"/>
          <w:b w:val="false"/>
          <w:sz w:val="26"/>
        </w:rPr>
        <w:t>(4) Cơ quan tài nguyên và môi trường thực hiện các công việc sau:
- Kiểm tra hồ sơ và trình cơ quan có thẩm quyền cấp Giấy chứng nhận;
- Chuyển hồ sơ đã giải quyết cho Văn phòng đăng ký đất đai.</w:t>
      </w:r>
    </w:p>
    <w:p>
      <w:pPr>
        <w:spacing w:after="0" w:before="0" w:lineRule="auto" w:line="276"/>
        <w:jc w:val="both"/>
      </w:pPr>
      <w:r>
        <w:rPr>
          <w:rFonts w:ascii="Times New Roman" w:hAnsi="Times New Roman" w:cs="Times New Roman" w:eastAsia="Times New Roman"/>
          <w:b w:val="false"/>
          <w:sz w:val="26"/>
        </w:rPr>
        <w:t>(5) Văn phòng đăng ký đất đai cập nhật bổ sung việc cấp Giấy chứng nhận vào hồ sơ địa chính, cơ sở dữ liệu đất đai và trao Giấy chứng nhận cho người được cấp cho người được cấp đã nộp chứng từ hoàn thành nghĩa vụ tài chính hoặc gửi Giấy chứng nhận cho Ủy ban nhân dân cấp xã để trao cho người được cấp đối với trường hợp hộ gia đình, cá nhân nộp hồ sơ tại cấp xã.
- Xác nhận vào bản chính giấy tờ việc đã cấp Giấy chứng nhận theo quy định.</w:t>
      </w:r>
    </w:p>
    <w:p>
      <w:pPr>
        <w:spacing w:after="0" w:before="0" w:lineRule="auto" w:line="276"/>
        <w:jc w:val="both"/>
      </w:pPr>
      <w:r>
        <w:rPr>
          <w:rFonts w:ascii="Times New Roman" w:hAnsi="Times New Roman" w:cs="Times New Roman" w:eastAsia="Times New Roman"/>
          <w:b w:val="false"/>
          <w:sz w:val="26"/>
        </w:rPr>
        <w:t>(6) Người được cấp Giấy chứng nhận nhận lại bản chính giấy tờ đã được xác nhận cấp Giấy chứng nhận và Giấy chứng nhận.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w:t>
            </w:r>
          </w:p>
          <w:p>
            <w:pPr>
              <w:spacing w:after="0" w:before="0" w:lineRule="auto" w:line="276"/>
              <w:jc w:val="left"/>
            </w:pPr>
            <w:r>
              <w:rPr>
                <w:rFonts w:ascii="Times New Roman" w:hAnsi="Times New Roman" w:cs="Times New Roman" w:eastAsia="Times New Roman"/>
                <w:b w:val="false"/>
                <w:sz w:val="26"/>
              </w:rPr>
              <w:t xml:space="preserve">Phí :  </w:t>
              <w:t xml:space="preserve">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w:t>
            </w:r>
          </w:p>
        </w:tc>
        <w:tc>
          <w:p/>
          <w:p>
            <w:pPr>
              <w:spacing w:after="0" w:before="0" w:lineRule="auto" w:line="276"/>
              <w:jc w:val="left"/>
            </w:pPr>
            <w:r>
              <w:rPr>
                <w:rFonts w:ascii="Times New Roman" w:hAnsi="Times New Roman" w:cs="Times New Roman" w:eastAsia="Times New Roman"/>
                <w:b w:val="false"/>
                <w:sz w:val="26"/>
              </w:rPr>
              <w:t>- Bộ phận một cửa Sở Tài nguyên và Môi trường (đối với tổ chức), địa chỉ: 14 Hoàng Hoa Thám, Lộc Thọ, Nha Trang, Khánh Hòa;
- Bộ phận một cửa UBND cấp huyện hoặc UBND cấp xã (đối với hộ gia đình, cá nhân, cộng đồng dân cư).</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w:t>
            </w:r>
          </w:p>
          <w:p>
            <w:pPr>
              <w:spacing w:after="0" w:before="0" w:lineRule="auto" w:line="276"/>
              <w:jc w:val="left"/>
            </w:pPr>
            <w:r>
              <w:rPr>
                <w:rFonts w:ascii="Times New Roman" w:hAnsi="Times New Roman" w:cs="Times New Roman" w:eastAsia="Times New Roman"/>
                <w:b w:val="false"/>
                <w:sz w:val="26"/>
              </w:rPr>
              <w:t xml:space="preserve">Lệ phí :  </w:t>
              <w:t xml:space="preserve">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w:t>
            </w:r>
          </w:p>
        </w:tc>
        <w:tc>
          <w:p/>
          <w:p>
            <w:pPr>
              <w:spacing w:after="0" w:before="0" w:lineRule="auto" w:line="276"/>
              <w:jc w:val="left"/>
            </w:pPr>
            <w:r>
              <w:rPr>
                <w:rFonts w:ascii="Times New Roman" w:hAnsi="Times New Roman" w:cs="Times New Roman" w:eastAsia="Times New Roman"/>
                <w:b w:val="false"/>
                <w:sz w:val="26"/>
              </w:rPr>
              <w:t>- Bộ phận một cửa Sở Tài nguyên và Môi trường (đối với tổ chức), địa chỉ: 14 Hoàng Hoa Thám, Lộc Thọ, Nha Trang, Khánh Hòa;
- Bộ phận một cửa UBND cấp huyện hoặc UBND cấp xã (đối với hộ gia đình, cá nhân, cộng đồng dân cư).</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Trường hợp chứng nhận bổ sung quyền sở hữu tài sản gắn liền với đất là cây lâu năm: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 -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 - Hợp đồng hoặc văn bản về việc mua bán hoặc tặng cho hoặc thừa kế đối với cây lâu năm đã được công chứng hoặc chứng thực theo quy định; - Bản án, quyết định của Tòa án nhân dân hoặc giấy tờ của cơ quan nhà nước có thẩm quyền giải quyết được quyền sở hữu cây lâu năm đã có hiệu lực pháp luật; -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 -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 - Văn bản thoả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đối với trường hợp chủ sở hữu cây lâu năm không đồng thời là người sử dụng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chứng nhận bổ sung quyền sở hữu tài sản gắn liền với đất là công trình xây dựng: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 hồ sơ thiết kế xây dựng của công trình đối với trường hợp chứng nhận quyền sở hữu công trình trên đất nông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(2.1) Hộ gia đình, cá nhân trong nước, cộng đồng dân cư phải có một trong các loại giấy tờ sau: - Giấy phép xây dựng công trình hoặc giấy phép xây dựng công trình có thời hạn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 - Giấy tờ về sở hữu công trình xây dựng do cơ quan có thẩm quyền cấp qua các thời kỳ, trừ trường hợp Nhà nước đã quản lý, bố trí sử dụng; - Giấy tờ mua bán hoặc tặng cho hoặc thừa kế công trình xây dựng theo quy định của pháp luật đã được công chứng hoặc chứng thực theo quy định; - Giấy tờ của Toà án nhân dân hoặc cơ quan nhà nước có thẩm quyền giải quyết được quyền sở hữu công trình xây dựng đã có hiệu lực pháp luật;  - Trường hợp người đề nghị chứng nhận quyền sở hữu công trình xây dựng có một trong những giấy tờ quy định nêu trên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 - 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 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(2.2) Tổ chức trong nước, cơ sở tôn giáo, tổ chức nước ngoài, cá nhân nước ngoài, người Việt Nam định cư ở nước ngoài phải có giấy tờ theo quy định sau: -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 -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 - 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 -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 - Đối với dự án có nhiều hạng mục công trình được thể hiện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đất cho từng hạng mục công trình hoặc từng phần diện tích của hạng mục công trình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(2.3)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chứng nhận bổ sung quyền sở hữu tài sản gắn liền với đất là nhà ở:</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Một trong các giấy tờ sau đối với trường hợp chứng nhận tài sản là nhà ở (bản sao giấy tờ đã có công chứng hoặc chứng thực hoặc bản sao giấy tờ và xuất trình bản chính để cán bộ tiếp nhận hồ sơ kiểm tra đối chiếu và xác nhận vào bản sao hoặc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(2.1) Hộ gia đình, cá nhân trong nước phải có một trong các loại giấy tờ sau:                      - Giấy phép xây dựng nhà ở hoặc giấy phép xây dựng nhà ở có thời hạn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 -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 - Giấy tờ về giao hoặc tặng nhà tình nghĩa, nhà tình thương, nhà đại đoàn kết; -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 -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 - Bản án hoặc quyết định của Toà án nhân dân hoặc giấy tờ của cơ quan nhà nước có thẩm quyền giải quyết được quyền sở hữu nhà ở đã có hiệu lực pháp luật;  -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 -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(2.2) Người Việt Nam định cư ở nước ngoài sở hữu nhà ở tại Việt Nam phải có các giấy tờ sau: - Giấy tờ về mua bán hoặc nhận tặng cho hoặc nhận thừa kế nhà ở hoặc được sở hữu nhà ở thông qua hình thức khác theo quy định của pháp luật về nhà ở; - Một trong các giấy tờ của bên chuyển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(2.3) Tổ chức trong nước, người Việt Nam định cư ở nước ngoài thực hiện dự án đầu tư, tổ chức nước ngoài, cá nhân nước ngoài phải có giấy tờ theo quy định sau: -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 Trường hợp mua, nhận tặng cho, nhận thừa kế nhà ở hoặc được sở hữu nhà ở thông qua hình thức khác theo quy định của pháp luật thì phải có giấy tờ về giao dịch đó theo quy định của pháp luật về nhà ở; -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 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 - Chứng từ thực hiện nghĩa vụ tài chính; giấy tờ liên quan đến việc miễn, giảm nghĩa vụ tài chính về đất đai, tài sản gắn liền với đất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(3)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đất ở.</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chứng nhận bổ sung quyền sở hữu tài sản gắn liền với đất là rừng sản xuất là rừng trồng: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 Giấy chứng nhận hoặc một trong các giấy tờ về quyền sử dụng đất, quyền sở hữu tài sản gắn liền với đất nêu tại Khoản 2 trên đây mà trong đó xác định Nhà nước giao đất, cho thuê đất, công nhận quyền sử dụng đất để trồng rừng sản xuất; - Giấy tờ về giao rừng sản xuất là rừng trồng; - Hợp đồng hoặc văn bản về việc mua bán hoặc tặng cho hoặc thừa kế đối với rừng sản xuất là rừng trồng đã được công chứng hoặc chứng thực theo quy định của pháp luật; - Bản án, quyết định của Tòa án nhân dân hoặc giấy tờ của cơ quan nhà nước có thẩm quyền giải quyết được quyền sở hữu rừng sản xuất là rừng trồng đã có hiệu lực pháp luật; -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 -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 -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 - 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cấp Giấy chứng nhận quyền sử dụng đất, quyền sở hữu nhà ở và tài sản khác gắn liền với đất theo Mẫu số 04/ĐK</w:t>
            </w:r>
          </w:p>
        </w:tc>
        <w:tc>
          <w:p/>
          <w:p>
            <w:pPr>
              <w:spacing w:after="0" w:before="0" w:lineRule="auto" w:line="276"/>
              <w:jc w:val="left"/>
            </w:pPr>
            <w:r>
              <w:rPr>
                <w:rFonts w:ascii="Times New Roman" w:hAnsi="Times New Roman" w:cs="Times New Roman" w:eastAsia="Times New Roman"/>
                <w:b w:val="false"/>
                <w:sz w:val="26"/>
              </w:rPr>
              <w:t>Mau so 04a-DK.pdf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Sơ đồ về tài sản gắn liền với đất (trừ trường hợp trong giấy tờ về quyền sở hữu tài sản gắn liền với đất đã có sơ đồ tài sản phù hợp với hiện trạng);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chứng nhận đã cấp đối với trường hợp chứng nhận bổ sung quyền sở hữu tài sản gắn liền với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Chứng từ thực hiện nghĩa vụ tài chính; giấy tờ liên quan đến việc miễn, giảm nghĩa vụ tài chính về tài sản gắn liền với đất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Tài nguyên và Môi trường - tỉnh Khánh Hòa, UBND cấp huyện-tỉnh Khánh Hòa, UBND cấp xã-tỉnh Khánh Hòa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Ủy ban nhân dân cấp xã, Phòng Tài nguyên và Môi trường</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quyền sử dụng đất quyền sở hữu nhà ở và tài sản khác gắn liền với đất tài sản khác gắn liền với đất, Ghi vào sổ địa chính và lập hồ sơ để Nhà nước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Nghị định 01/2017/NĐ-CP ngày 06 tháng 01 năm 2014 của Chính phủ 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45/2013/QH13	</w:t>
            </w:r>
          </w:p>
        </w:tc>
        <w:tc>
          <w:p/>
          <w:p>
            <w:pPr>
              <w:spacing w:after="0" w:before="0" w:lineRule="auto" w:line="276"/>
              <w:jc w:val="left"/>
            </w:pPr>
            <w:r>
              <w:rPr>
                <w:rFonts w:ascii="Times New Roman" w:hAnsi="Times New Roman" w:cs="Times New Roman" w:eastAsia="Times New Roman"/>
                <w:b w:val="false"/>
                <w:sz w:val="26"/>
              </w:rPr>
              <w:t>Luật 45/2013/QH13</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02/2015/TT-BTNMT	</w:t>
            </w:r>
          </w:p>
        </w:tc>
        <w:tc>
          <w:p/>
          <w:p>
            <w:pPr>
              <w:spacing w:after="0" w:before="0" w:lineRule="auto" w:line="276"/>
              <w:jc w:val="left"/>
            </w:pPr>
            <w:r>
              <w:rPr>
                <w:rFonts w:ascii="Times New Roman" w:hAnsi="Times New Roman" w:cs="Times New Roman" w:eastAsia="Times New Roman"/>
                <w:b w:val="false"/>
                <w:sz w:val="26"/>
              </w:rPr>
              <w:t>Thông tư 02/2015/TT-BTNMT</w:t>
            </w:r>
          </w:p>
        </w:tc>
        <w:tc>
          <w:p/>
          <w:p>
            <w:pPr>
              <w:spacing w:after="0" w:before="0" w:lineRule="auto" w:line="276"/>
              <w:jc w:val="left"/>
            </w:pPr>
            <w:r>
              <w:rPr>
                <w:rFonts w:ascii="Times New Roman" w:hAnsi="Times New Roman" w:cs="Times New Roman" w:eastAsia="Times New Roman"/>
                <w:b w:val="false"/>
                <w:sz w:val="26"/>
              </w:rPr>
              <w:t>27-01-2015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số 85/2019/TT-BTC ngày 29 tháng 11 năm 2019 của Bộ trưởng Bộ Tài chính hướng dẫn về phí và lệ phí thuộc thẩm quyền quyết định của HĐND tỉnh, thành phố trực thuộc Trung ương (được sửa đổi bổ sung tại Thông tư số 106/2021/TT-BTC ngày 26 tháng 11 năm 2021 và Thông tư số 75/2022/TT-BTC ngày 22 tháng 12 năm 2022 của Bộ trưởng Bộ Tài chính)</w:t>
            </w:r>
          </w:p>
        </w:tc>
        <w:tc>
          <w:p/>
          <w:p>
            <w:pPr>
              <w:spacing w:after="0" w:before="0" w:lineRule="auto" w:line="276"/>
              <w:jc w:val="left"/>
            </w:pPr>
            <w:r>
              <w:rPr>
                <w:rFonts w:ascii="Times New Roman" w:hAnsi="Times New Roman" w:cs="Times New Roman" w:eastAsia="Times New Roman"/>
                <w:b w:val="false"/>
                <w:sz w:val="26"/>
              </w:rPr>
              <w:t>29-11-2019</w:t>
            </w:r>
          </w:p>
        </w:tc>
        <w:tc>
          <w:p/>
        </w:tc>
      </w:tr>
      <w:tr>
        <w:tc>
          <w:p/>
          <w:p>
            <w:pPr>
              <w:spacing w:after="0" w:before="0" w:lineRule="auto" w:line="276"/>
              <w:jc w:val="left"/>
            </w:pPr>
            <w:r>
              <w:rPr>
                <w:rFonts w:ascii="Times New Roman" w:hAnsi="Times New Roman" w:cs="Times New Roman" w:eastAsia="Times New Roman"/>
                <w:b w:val="false"/>
                <w:sz w:val="26"/>
              </w:rPr>
              <w:t>09/2021/TT-BTNMT</w:t>
            </w:r>
          </w:p>
        </w:tc>
        <w:tc>
          <w:p/>
          <w:p>
            <w:pPr>
              <w:spacing w:after="0" w:before="0" w:lineRule="auto" w:line="276"/>
              <w:jc w:val="left"/>
            </w:pPr>
            <w:r>
              <w:rPr>
                <w:rFonts w:ascii="Times New Roman" w:hAnsi="Times New Roman" w:cs="Times New Roman" w:eastAsia="Times New Roman"/>
                <w:b w:val="false"/>
                <w:sz w:val="26"/>
              </w:rPr>
              <w:t>Thông tư số 09/2021/TT-BTNMT ngày 30 tháng 6 năm 2021 của Bộ trưởng Bộ Tài nguyên và Môi trường sửa đổi, bổ sung một số điều của các thông tư quy định chi tiết và hướng dẫn thi hành Luật Đất đai</w:t>
            </w:r>
          </w:p>
        </w:tc>
        <w:tc>
          <w:p/>
          <w:p>
            <w:pPr>
              <w:spacing w:after="0" w:before="0" w:lineRule="auto" w:line="276"/>
              <w:jc w:val="left"/>
            </w:pPr>
            <w:r>
              <w:rPr>
                <w:rFonts w:ascii="Times New Roman" w:hAnsi="Times New Roman" w:cs="Times New Roman" w:eastAsia="Times New Roman"/>
                <w:b w:val="false"/>
                <w:sz w:val="26"/>
              </w:rPr>
              <w:t>30-06-2021</w:t>
            </w:r>
          </w:p>
        </w:tc>
        <w:tc>
          <w:p/>
        </w:tc>
      </w:tr>
      <w:tr>
        <w:tc>
          <w:p/>
          <w:p>
            <w:pPr>
              <w:spacing w:after="0" w:before="0" w:lineRule="auto" w:line="276"/>
              <w:jc w:val="left"/>
            </w:pPr>
            <w:r>
              <w:rPr>
                <w:rFonts w:ascii="Times New Roman" w:hAnsi="Times New Roman" w:cs="Times New Roman" w:eastAsia="Times New Roman"/>
                <w:b w:val="false"/>
                <w:sz w:val="26"/>
              </w:rPr>
              <w:t>148/2020/NĐ-CP</w:t>
            </w:r>
          </w:p>
        </w:tc>
        <w:tc>
          <w:p/>
          <w:p>
            <w:pPr>
              <w:spacing w:after="0" w:before="0" w:lineRule="auto" w:line="276"/>
              <w:jc w:val="left"/>
            </w:pPr>
            <w:r>
              <w:rPr>
                <w:rFonts w:ascii="Times New Roman" w:hAnsi="Times New Roman" w:cs="Times New Roman" w:eastAsia="Times New Roman"/>
                <w:b w:val="false"/>
                <w:sz w:val="26"/>
              </w:rPr>
              <w:t>Nghị định 148/2020/NĐ-CP</w:t>
            </w:r>
          </w:p>
        </w:tc>
        <w:tc>
          <w:p/>
          <w:p>
            <w:pPr>
              <w:spacing w:after="0" w:before="0" w:lineRule="auto" w:line="276"/>
              <w:jc w:val="left"/>
            </w:pPr>
            <w:r>
              <w:rPr>
                <w:rFonts w:ascii="Times New Roman" w:hAnsi="Times New Roman" w:cs="Times New Roman" w:eastAsia="Times New Roman"/>
                <w:b w:val="false"/>
                <w:sz w:val="26"/>
              </w:rPr>
              <w:t>18-12-2020</w:t>
            </w:r>
          </w:p>
        </w:tc>
        <w:tc>
          <w:p/>
        </w:tc>
      </w:tr>
      <w:tr>
        <w:tc>
          <w:p/>
          <w:p>
            <w:pPr>
              <w:spacing w:after="0" w:before="0" w:lineRule="auto" w:line="276"/>
              <w:jc w:val="left"/>
            </w:pPr>
            <w:r>
              <w:rPr>
                <w:rFonts w:ascii="Times New Roman" w:hAnsi="Times New Roman" w:cs="Times New Roman" w:eastAsia="Times New Roman"/>
                <w:b w:val="false"/>
                <w:sz w:val="26"/>
              </w:rPr>
              <w:t>18/2021/NQ-HĐND</w:t>
            </w:r>
          </w:p>
        </w:tc>
        <w:tc>
          <w:p/>
          <w:p>
            <w:pPr>
              <w:spacing w:after="0" w:before="0" w:lineRule="auto" w:line="276"/>
              <w:jc w:val="left"/>
            </w:pPr>
            <w:r>
              <w:rPr>
                <w:rFonts w:ascii="Times New Roman" w:hAnsi="Times New Roman" w:cs="Times New Roman" w:eastAsia="Times New Roman"/>
                <w:b w:val="false"/>
                <w:sz w:val="26"/>
              </w:rPr>
              <w:t>Về việc quy định mức thu, nộp, quản lý và sử dụng phí thẩm định hồ sơ cấp Giấy chứng nhận quyền sử dụng đất; lệ phí cấp Giấy chứng nhận quyền sử dụng đất, quyền sở hữu nhà, tài sản gắn liền với đất trên địa bàn tỉnh Khánh Hòa.</w:t>
            </w:r>
          </w:p>
        </w:tc>
        <w:tc>
          <w:p/>
          <w:p>
            <w:pPr>
              <w:spacing w:after="0" w:before="0" w:lineRule="auto" w:line="276"/>
              <w:jc w:val="left"/>
            </w:pPr>
            <w:r>
              <w:rPr>
                <w:rFonts w:ascii="Times New Roman" w:hAnsi="Times New Roman" w:cs="Times New Roman" w:eastAsia="Times New Roman"/>
                <w:b w:val="false"/>
                <w:sz w:val="26"/>
              </w:rPr>
              <w:t>10-12-2021</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02/2023/TT-BTNMT</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15-05-2023</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14/2023/TT-BTNMT</w:t>
            </w:r>
          </w:p>
        </w:tc>
        <w:tc>
          <w:p/>
          <w:p>
            <w:pPr>
              <w:spacing w:after="0" w:before="0" w:lineRule="auto" w:line="276"/>
              <w:jc w:val="left"/>
            </w:pPr>
            <w:r>
              <w:rPr>
                <w:rFonts w:ascii="Times New Roman" w:hAnsi="Times New Roman" w:cs="Times New Roman" w:eastAsia="Times New Roman"/>
                <w:b w:val="false"/>
                <w:sz w:val="26"/>
              </w:rPr>
              <w:t>THÔNG TƯ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Ban đất đai - Bộ Tài nguyên và Môi trường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
- 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
- Đối với công trình xây dựng có sử dụng vào mục đích lưu trú du lịch theo quy định của pháp luật về du lịch trên đất thương mại, dịch vụ nếu đáp ứng đủ điều kiện theo quy định của pháp luật về đất đai, pháp luật về xây dựng, pháp luật về kinh doanh bất động sản thì được chứng nhận quyền sở hữu công trình xây dựng gắn liền với đất theo mục đích sử dụng đất thương mại, dịch vụ;</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Sổ đỏ</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2024-03-28T18:24:18Z</dcterms:created>
  <dc:creator>Apache POI</dc:creator>
</cp:coreProperties>
</file>