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2.001023.000.00.00.H56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2889/QĐ-UBND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Liên thông các thủ tục hành chính về đăng ký khai sinh, cấp Thẻ bảo hiểm y tế cho trẻ em dưới 6 tuổi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có yêu cầu nộp hồ sơ tại Bộ phận tiếp nhận và trả kết quả theo cơ chế “Một cửa” của Ủy ban nhân dân cấp xã.</w:t>
      </w:r>
    </w:p>
    <w:p>
      <w:pPr>
        <w:spacing w:after="0" w:before="0" w:lineRule="auto" w:line="276"/>
        <w:jc w:val="both"/>
      </w:pPr>
      <w:r>
        <w:rPr>
          <w:rFonts w:ascii="Times New Roman" w:hAnsi="Times New Roman" w:cs="Times New Roman" w:eastAsia="Times New Roman"/>
          <w:b w:val="false"/>
          <w:sz w:val="26"/>
        </w:rPr>
        <w:t>Cán bộ, công chức tiếp nhận hồ sơ có trách nhiệm kiểm tra giấy tờ trong hồ sơ, nếu hồ sơ đầy đủ, hợp lệ thì tiếp nhận,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pPr>
        <w:spacing w:after="0" w:before="0" w:lineRule="auto" w:line="276"/>
        <w:jc w:val="both"/>
      </w:pPr>
      <w:r>
        <w:rPr>
          <w:rFonts w:ascii="Times New Roman" w:hAnsi="Times New Roman" w:cs="Times New Roman" w:eastAsia="Times New Roman"/>
          <w:b w:val="false"/>
          <w:sz w:val="26"/>
        </w:rPr>
        <w:t>Công chức Tư pháp - hộ tịch cấp xã đăng ký khai sinh cho trẻ em ngay trong ngày tiếp nhận hồ sơ</w:t>
      </w:r>
    </w:p>
    <w:p>
      <w:pPr>
        <w:spacing w:after="0" w:before="0" w:lineRule="auto" w:line="276"/>
        <w:jc w:val="both"/>
      </w:pPr>
      <w:r>
        <w:rPr>
          <w:rFonts w:ascii="Times New Roman" w:hAnsi="Times New Roman" w:cs="Times New Roman" w:eastAsia="Times New Roman"/>
          <w:b w:val="false"/>
          <w:sz w:val="26"/>
        </w:rPr>
        <w:t xml:space="preserve">Sau khi công chức Tư pháp – hộ tịch cấp xã thực hiện việc đăng ký khai sinh và cấp Giấy khai sinh cho trẻ em, cán bộ, công chức được giao nhiệm vụ lập lập hồ sơ cấp Thẻ bảo hiểm y tế chuyển cho Bảo hiểm xã hội cấp huyện để cấp Thẻ bảo hiểm y tế cho trẻ em. </w:t>
      </w:r>
    </w:p>
    <w:p>
      <w:pPr>
        <w:spacing w:after="0" w:before="0" w:lineRule="auto" w:line="276"/>
        <w:jc w:val="both"/>
      </w:pPr>
      <w:r>
        <w:rPr>
          <w:rFonts w:ascii="Times New Roman" w:hAnsi="Times New Roman" w:cs="Times New Roman" w:eastAsia="Times New Roman"/>
          <w:b w:val="false"/>
          <w:sz w:val="26"/>
        </w:rPr>
        <w:t>Cơ quan Bảo hiểm xã hội kiểm tra hồ sơ, nếu thấy đầy đủ, hợp lệ thì thực hiện cấp Thẻ bảo hiểm y tế cho trẻ em (trong thời hạn 10 ngày).
Trường hợp hồ sơ chưa đầy đủ thì thông báo cho Ủy ban nhân dân cấp xã biết, hoàn thiện.</w:t>
      </w:r>
    </w:p>
    <w:p>
      <w:pPr>
        <w:spacing w:after="0" w:before="0" w:lineRule="auto" w:line="276"/>
        <w:jc w:val="both"/>
      </w:pPr>
      <w:r>
        <w:rPr>
          <w:rFonts w:ascii="Times New Roman" w:hAnsi="Times New Roman" w:cs="Times New Roman" w:eastAsia="Times New Roman"/>
          <w:b w:val="false"/>
          <w:sz w:val="26"/>
        </w:rPr>
        <w:t>Cơ quan Bảo hiểm xã hội chuyển trả Thẻ bảo hiểm y tế cho trẻ em về Ủy ban nhân dân cấp xã.</w:t>
      </w:r>
    </w:p>
    <w:p>
      <w:pPr>
        <w:spacing w:after="0" w:before="0" w:lineRule="auto" w:line="276"/>
        <w:jc w:val="both"/>
      </w:pPr>
      <w:r>
        <w:rPr>
          <w:rFonts w:ascii="Times New Roman" w:hAnsi="Times New Roman" w:cs="Times New Roman" w:eastAsia="Times New Roman"/>
          <w:b w:val="false"/>
          <w:sz w:val="26"/>
        </w:rPr>
        <w:t>Bộ phận tiếp nhận và trả kết quả theo cơ chế “Một cửa” tại Ủy ban nhân dân cấp xã trả kết quả cho người có yêu cầu.</w:t>
      </w:r>
    </w:p>
    <w:p>
      <w:pPr>
        <w:spacing w:after="0" w:before="0" w:lineRule="auto" w:line="276"/>
        <w:jc w:val="both"/>
      </w:pPr>
      <w:r>
        <w:rPr>
          <w:rFonts w:ascii="Times New Roman" w:hAnsi="Times New Roman" w:cs="Times New Roman" w:eastAsia="Times New Roman"/>
          <w:b w:val="false"/>
          <w:sz w:val="26"/>
        </w:rPr>
        <w:t>Khi trả Giấy khai sinh cho người có yêu cầu, công chức Tư pháp – hộ tịch ghi vào Sổ đăng ký khai sinh, yêu cầu người có yêu cầu ký tên vào Sổ đăng ký khai sinh và Giấy khai sinh.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Thời hạn thực hiện liên thông các thủ tục hành chính đăng ký khai sinh, cấp thẻ bảo hiểm y tế cho trẻ em dưới 6 tuổi tối đa không quá 15 ngày làm việc, kể từ ngày nộp đủ hồ sơ theo quy định.  - Trường hợp hồ sơ, thông tin chưa đầy đủ hoặc chưa đúng quy định mà Bộ phận tiếp nhận và trả kết quả của Ủy ban nhân dân cấp xã phải hoàn thiện hồ sơ, bổ sung thông tin theo yêu cầu của cơ quan Bảo hiểm xã hội thì thời hạn giải quyết được kéo dài thêm không quá 02 ngày làm việc.  -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  - Căn cứ vào tình hình thực tế, các địa phương có thể quy định cụ thể thời hạn thực hiện liên thông các thủ tục hành chính ngắn hơn thời hạn tối đa nêu trên. </w:t>
            </w:r>
          </w:p>
        </w:tc>
        <w:tc>
          <w:p/>
          <w:p>
            <w:pPr>
              <w:spacing w:after="0" w:before="0" w:lineRule="auto" w:line="276"/>
              <w:jc w:val="left"/>
            </w:pPr>
            <w:r>
              <w:rPr>
                <w:rFonts w:ascii="Times New Roman" w:hAnsi="Times New Roman" w:cs="Times New Roman" w:eastAsia="Times New Roman"/>
                <w:b w:val="false"/>
                <w:sz w:val="26"/>
              </w:rPr>
              <w:t>Lệ phí : 0 Đồng</w:t>
              <w:t xml:space="preserve"> (- Lệ phí:  Miễn lệ phí)</w:t>
            </w:r>
          </w:p>
        </w:tc>
        <w:tc>
          <w:p/>
          <w:p>
            <w:pPr>
              <w:spacing w:after="0" w:before="0" w:lineRule="auto" w:line="276"/>
              <w:jc w:val="left"/>
            </w:pPr>
            <w:r>
              <w:rPr>
                <w:rFonts w:ascii="Times New Roman" w:hAnsi="Times New Roman" w:cs="Times New Roman" w:eastAsia="Times New Roman"/>
                <w:b w:val="false"/>
                <w:sz w:val="26"/>
              </w:rPr>
              <w:t>Người có yêu cầu trực tiếp hoặc ủy quyền cho người khác thực hiện tại Bộ phận tiếp nhận và trả kết quả tại Ủy ban nhân dân cấp xã.</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04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liên kết thực hiện trực tuyến trên phần mềm liên thông của Bộ Công an địa chỉ: https://lienthong.dichvucong.gov.vn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khai sinh theo mẫu quy định.</w:t>
            </w:r>
          </w:p>
        </w:tc>
        <w:tc>
          <w:p/>
          <w:p>
            <w:pPr>
              <w:spacing w:after="0" w:before="0" w:lineRule="auto" w:line="276"/>
              <w:jc w:val="left"/>
            </w:pPr>
            <w:r>
              <w:rPr>
                <w:rFonts w:ascii="Times New Roman" w:hAnsi="Times New Roman" w:cs="Times New Roman" w:eastAsia="Times New Roman"/>
                <w:b w:val="false"/>
                <w:sz w:val="26"/>
              </w:rPr>
              <w:t>Tờ khai đăng ký khai sinh.docx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tham gia bảo hiểm y tế, Danh sách đề nghị cấp thẻ bảo hiểm y tế cho trẻ em dưới 6 tuổi của Ủy ban nhân dân cấp xã (theo mẫu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Bảo hiểm xã hội cấp huyện, 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khai sinh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105/2014/NĐ-CP</w:t>
            </w:r>
          </w:p>
        </w:tc>
        <w:tc>
          <w:p/>
          <w:p>
            <w:pPr>
              <w:spacing w:after="0" w:before="0" w:lineRule="auto" w:line="276"/>
              <w:jc w:val="left"/>
            </w:pPr>
            <w:r>
              <w:rPr>
                <w:rFonts w:ascii="Times New Roman" w:hAnsi="Times New Roman" w:cs="Times New Roman" w:eastAsia="Times New Roman"/>
                <w:b w:val="false"/>
                <w:sz w:val="26"/>
              </w:rPr>
              <w:t>Nghị định 105/2014/NĐ-CP - Quy định chi tiết và hướng dẫn thi hành một số điều của Luật Bảo hiểm y tế</w:t>
            </w:r>
          </w:p>
        </w:tc>
        <w:tc>
          <w:p/>
          <w:p>
            <w:pPr>
              <w:spacing w:after="0" w:before="0" w:lineRule="auto" w:line="276"/>
              <w:jc w:val="left"/>
            </w:pPr>
            <w:r>
              <w:rPr>
                <w:rFonts w:ascii="Times New Roman" w:hAnsi="Times New Roman" w:cs="Times New Roman" w:eastAsia="Times New Roman"/>
                <w:b w:val="false"/>
                <w:sz w:val="26"/>
              </w:rPr>
              <w:t>15-11-2014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05/2015/TTLT-BTP-BCA-BYT</w:t>
            </w:r>
          </w:p>
        </w:tc>
        <w:tc>
          <w:p/>
          <w:p>
            <w:pPr>
              <w:spacing w:after="0" w:before="0" w:lineRule="auto" w:line="276"/>
              <w:jc w:val="left"/>
            </w:pPr>
            <w:r>
              <w:rPr>
                <w:rFonts w:ascii="Times New Roman" w:hAnsi="Times New Roman" w:cs="Times New Roman" w:eastAsia="Times New Roman"/>
                <w:b w:val="false"/>
                <w:sz w:val="26"/>
              </w:rPr>
              <w:t>Thông tư liên tich 05/2015/TTLT-BTP-BCA-BYT</w:t>
            </w:r>
          </w:p>
        </w:tc>
        <w:tc>
          <w:p/>
          <w:p>
            <w:pPr>
              <w:spacing w:after="0" w:before="0" w:lineRule="auto" w:line="276"/>
              <w:jc w:val="left"/>
            </w:pPr>
            <w:r>
              <w:rPr>
                <w:rFonts w:ascii="Times New Roman" w:hAnsi="Times New Roman" w:cs="Times New Roman" w:eastAsia="Times New Roman"/>
                <w:b w:val="false"/>
                <w:sz w:val="26"/>
              </w:rPr>
              <w:t>15-05-2015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146/2018/NĐ-CP</w:t>
            </w:r>
          </w:p>
        </w:tc>
        <w:tc>
          <w:p/>
          <w:p>
            <w:pPr>
              <w:spacing w:after="0" w:before="0" w:lineRule="auto" w:line="276"/>
              <w:jc w:val="left"/>
            </w:pPr>
            <w:r>
              <w:rPr>
                <w:rFonts w:ascii="Times New Roman" w:hAnsi="Times New Roman" w:cs="Times New Roman" w:eastAsia="Times New Roman"/>
                <w:b w:val="false"/>
                <w:sz w:val="26"/>
              </w:rPr>
              <w:t>Quy định chi tiết và hướng dẫn biện pháp thi hành một số điều của Luật bảo hiểm y tế</w:t>
            </w:r>
          </w:p>
        </w:tc>
        <w:tc>
          <w:p/>
          <w:p>
            <w:pPr>
              <w:spacing w:after="0" w:before="0" w:lineRule="auto" w:line="276"/>
              <w:jc w:val="left"/>
            </w:pPr>
            <w:r>
              <w:rPr>
                <w:rFonts w:ascii="Times New Roman" w:hAnsi="Times New Roman" w:cs="Times New Roman" w:eastAsia="Times New Roman"/>
                <w:b w:val="false"/>
                <w:sz w:val="26"/>
              </w:rPr>
              <w:t>17-10-2018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Hộ tịch</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Quy định chi tiết một số điều và biện pháp thi hành Luật Hộ tịch</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15/2015/TT-BTP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hộ tịch và Nghị định số 123/2015/NĐ-CP ngày 15 tháng 11 năm 2015 của Chính phủ quy định chi tiết một số điều và biện pháp thi hành Luật hộ tịch</w:t>
            </w:r>
          </w:p>
        </w:tc>
        <w:tc>
          <w:p/>
          <w:p>
            <w:pPr>
              <w:spacing w:after="0" w:before="0" w:lineRule="auto" w:line="276"/>
              <w:jc w:val="left"/>
            </w:pPr>
            <w:r>
              <w:rPr>
                <w:rFonts w:ascii="Times New Roman" w:hAnsi="Times New Roman" w:cs="Times New Roman" w:eastAsia="Times New Roman"/>
                <w:b w:val="false"/>
                <w:sz w:val="26"/>
              </w:rPr>
              <w:t>16-11-2015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25/2008/QH12</w:t>
            </w:r>
          </w:p>
        </w:tc>
        <w:tc>
          <w:p/>
          <w:p>
            <w:pPr>
              <w:spacing w:after="0" w:before="0" w:lineRule="auto" w:line="276"/>
              <w:jc w:val="left"/>
            </w:pPr>
            <w:r>
              <w:rPr>
                <w:rFonts w:ascii="Times New Roman" w:hAnsi="Times New Roman" w:cs="Times New Roman" w:eastAsia="Times New Roman"/>
                <w:b w:val="false"/>
                <w:sz w:val="26"/>
              </w:rPr>
              <w:t>Luật Bảo hiểm y tế</w:t>
            </w:r>
          </w:p>
        </w:tc>
        <w:tc>
          <w:p/>
          <w:p>
            <w:pPr>
              <w:spacing w:after="0" w:before="0" w:lineRule="auto" w:line="276"/>
              <w:jc w:val="left"/>
            </w:pPr>
            <w:r>
              <w:rPr>
                <w:rFonts w:ascii="Times New Roman" w:hAnsi="Times New Roman" w:cs="Times New Roman" w:eastAsia="Times New Roman"/>
                <w:b w:val="false"/>
                <w:sz w:val="26"/>
              </w:rPr>
              <w:t>14-11-2008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46/2014/QH13</w:t>
            </w:r>
          </w:p>
        </w:tc>
        <w:tc>
          <w:p/>
          <w:p>
            <w:pPr>
              <w:spacing w:after="0" w:before="0" w:lineRule="auto" w:line="276"/>
              <w:jc w:val="left"/>
            </w:pPr>
            <w:r>
              <w:rPr>
                <w:rFonts w:ascii="Times New Roman" w:hAnsi="Times New Roman" w:cs="Times New Roman" w:eastAsia="Times New Roman"/>
                <w:b w:val="false"/>
                <w:sz w:val="26"/>
              </w:rPr>
              <w:t>Luật sửa đổi, bổ sung một số điều của Luật Bảo hiểm y tế</w:t>
            </w:r>
          </w:p>
        </w:tc>
        <w:tc>
          <w:p/>
          <w:p>
            <w:pPr>
              <w:spacing w:after="0" w:before="0" w:lineRule="auto" w:line="276"/>
              <w:jc w:val="left"/>
            </w:pPr>
            <w:r>
              <w:rPr>
                <w:rFonts w:ascii="Times New Roman" w:hAnsi="Times New Roman" w:cs="Times New Roman" w:eastAsia="Times New Roman"/>
                <w:b w:val="false"/>
                <w:sz w:val="26"/>
              </w:rPr>
              <w:t>13-06-2014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ban hành mức thu, miễn, giảm, thu, nộp quản lý và sử dụng các khoản phí, lệ phí thuộc Hội đồng nhân dân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Việc đăng ký khai sinh cho trẻ em dưới 6 tuổi thuộc thẩm quyền giải quyết của Ủy ban nhân dân cấp xã.
- Các cơ quan có thẩm quyền thực hiện liên thông các thủ tục hành chính phải cùng thuộc địa bàn một huyện, thị xã, thành phố thuộc tỉnh hoặc cùng thuộc địa bàn một quận, huyện, thị xã thuộc thành phố trực thuộc trung 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2024-03-28T17:44:33Z</dcterms:created>
  <dc:creator>Apache POI</dc:creator>
</cp:coreProperties>
</file>