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2.001067.000.00.00.H56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2545/QĐ-UBND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Chấm dứt hoạt động của dự án đầu tư. BQL</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Đầu tư tại Việt nam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Nhà đầu tư gửi hồ sơ chấm dứt hoạt động cho Ban Quản lý.
</w:t>
      </w:r>
    </w:p>
    <w:p>
      <w:pPr>
        <w:spacing w:after="0" w:before="0" w:lineRule="auto" w:line="276"/>
        <w:jc w:val="both"/>
      </w:pPr>
      <w:r>
        <w:rPr>
          <w:rFonts w:ascii="Times New Roman" w:hAnsi="Times New Roman" w:cs="Times New Roman" w:eastAsia="Times New Roman"/>
          <w:b w:val="false"/>
          <w:sz w:val="26"/>
        </w:rPr>
        <w:t>- Bước 2: Ban Quản lý tiếp nhận hồ sơ và ghi nhận tình trạng chấm dứt hoạt động của dự án đầu tư.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Ngay khi tiếp nhận thông báo.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Ngay khi tiếp nhận thông báo.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p>
            <w:pPr>
              <w:spacing w:after="0" w:before="0" w:lineRule="auto" w:line="276"/>
              <w:jc w:val="left"/>
            </w:pPr>
            <w:r>
              <w:rPr>
                <w:rFonts w:ascii="Times New Roman" w:hAnsi="Times New Roman" w:cs="Times New Roman" w:eastAsia="Times New Roman"/>
                <w:b w:val="false"/>
                <w:sz w:val="26"/>
              </w:rPr>
              <w:t>địa chỉ trực tuyến http://dichvucong.gov.vn (mức 4)</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Ngay khi tiếp nhận thông báo.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Trường hợp chấm dứt hoạt động của dự án đầu tư theo các điều kiện quy định trong hợp đồng, điều lệ doanh nghiệp hoặc hết thời hạn hoạt động của dự án đầu tư (theo quy định tại Điểm b và Điểm c Khoản 1 Điều 48 Luật Đầu tư):</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Thông báo của nhà đầu tư;</w:t>
            </w:r>
          </w:p>
        </w:tc>
        <w:tc>
          <w:p/>
          <w:p>
            <w:pPr>
              <w:spacing w:after="0" w:before="0" w:lineRule="auto" w:line="276"/>
              <w:jc w:val="left"/>
            </w:pPr>
            <w:r>
              <w:rPr>
                <w:rFonts w:ascii="Times New Roman" w:hAnsi="Times New Roman" w:cs="Times New Roman" w:eastAsia="Times New Roman"/>
                <w:b w:val="false"/>
                <w:sz w:val="26"/>
              </w:rPr>
              <w:t>Mau I-11_TT16_TB cham dut hoa dong DA ĐT - Copy.docx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chứng nhận đăng ký đầu tư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Điều lệ hoặc hợp đồng trong trường hợp điều lệ hoặc hợp đồng ghi nhận việc chấm dứt hoạt động của dự án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Trường hợp tự quyết định chấm dứt hoạt động của dự án đầu tư theo quy định tại Điểm a Khoản 1 Điều 48 Luật Đầu tư:</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Quyết định chấm dứt chấm dứt hoạt động của dự án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Kèm theo Giấy chứng nhận đăng ký đầu tư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Ban QL KKT Nghi sơn và các Khu công nghiệp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Ban QL KKT Nghi sơn và các Khu công nghiệp</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Ban Quản lý Khu kinh tế Nghi Sơn và các khu công nghiệp tỉnh Thanh Hóa tại Km 372 Quốc lộ 1A, xã Trúc Lâm, huyện Tĩnh Gia, tỉnh Thanh Hóa; - Qua hệ thống dịch vụ công trực tuyến: https://dichvucong.thanhhoa.gov.vn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chấm dứt hoạt động của dự án đầu tư.</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67/2014/QH13</w:t>
            </w:r>
          </w:p>
        </w:tc>
        <w:tc>
          <w:p/>
          <w:p>
            <w:pPr>
              <w:spacing w:after="0" w:before="0" w:lineRule="auto" w:line="276"/>
              <w:jc w:val="left"/>
            </w:pPr>
            <w:r>
              <w:rPr>
                <w:rFonts w:ascii="Times New Roman" w:hAnsi="Times New Roman" w:cs="Times New Roman" w:eastAsia="Times New Roman"/>
                <w:b w:val="false"/>
                <w:sz w:val="26"/>
              </w:rPr>
              <w:t>Luật 67/2014/QH13</w:t>
            </w:r>
          </w:p>
        </w:tc>
        <w:tc>
          <w:p/>
          <w:p>
            <w:pPr>
              <w:spacing w:after="0" w:before="0" w:lineRule="auto" w:line="276"/>
              <w:jc w:val="left"/>
            </w:pPr>
            <w:r>
              <w:rPr>
                <w:rFonts w:ascii="Times New Roman" w:hAnsi="Times New Roman" w:cs="Times New Roman" w:eastAsia="Times New Roman"/>
                <w:b w:val="false"/>
                <w:sz w:val="26"/>
              </w:rPr>
              <w:t>26-11-2014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118/2015/NĐ-CP</w:t>
            </w:r>
          </w:p>
        </w:tc>
        <w:tc>
          <w:p/>
          <w:p>
            <w:pPr>
              <w:spacing w:after="0" w:before="0" w:lineRule="auto" w:line="276"/>
              <w:jc w:val="left"/>
            </w:pPr>
            <w:r>
              <w:rPr>
                <w:rFonts w:ascii="Times New Roman" w:hAnsi="Times New Roman" w:cs="Times New Roman" w:eastAsia="Times New Roman"/>
                <w:b w:val="false"/>
                <w:sz w:val="26"/>
              </w:rPr>
              <w:t>Nghị định 118/2015/NĐ-CP</w:t>
            </w:r>
          </w:p>
        </w:tc>
        <w:tc>
          <w:p/>
          <w:p>
            <w:pPr>
              <w:spacing w:after="0" w:before="0" w:lineRule="auto" w:line="276"/>
              <w:jc w:val="left"/>
            </w:pPr>
            <w:r>
              <w:rPr>
                <w:rFonts w:ascii="Times New Roman" w:hAnsi="Times New Roman" w:cs="Times New Roman" w:eastAsia="Times New Roman"/>
                <w:b w:val="false"/>
                <w:sz w:val="26"/>
              </w:rPr>
              <w:t>12-11-2015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16/2015/TT-BKHĐT</w:t>
            </w:r>
          </w:p>
        </w:tc>
        <w:tc>
          <w:p/>
          <w:p>
            <w:pPr>
              <w:spacing w:after="0" w:before="0" w:lineRule="auto" w:line="276"/>
              <w:jc w:val="left"/>
            </w:pPr>
            <w:r>
              <w:rPr>
                <w:rFonts w:ascii="Times New Roman" w:hAnsi="Times New Roman" w:cs="Times New Roman" w:eastAsia="Times New Roman"/>
                <w:b w:val="false"/>
                <w:sz w:val="26"/>
              </w:rPr>
              <w:t>Thông tư 16/2015/TT-BKHĐT</w:t>
            </w:r>
          </w:p>
        </w:tc>
        <w:tc>
          <w:p/>
          <w:p>
            <w:pPr>
              <w:spacing w:after="0" w:before="0" w:lineRule="auto" w:line="276"/>
              <w:jc w:val="left"/>
            </w:pPr>
            <w:r>
              <w:rPr>
                <w:rFonts w:ascii="Times New Roman" w:hAnsi="Times New Roman" w:cs="Times New Roman" w:eastAsia="Times New Roman"/>
                <w:b w:val="false"/>
                <w:sz w:val="26"/>
              </w:rPr>
              <w:t>18-11-2015</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Nhà đầu tư (cá nhân và tổ chức) có dự án đầu tư chấm dứt hoạt động thuộc một trong các trường hợp sau:
+ Nhà đầu tư quyết định chấm dứt hoạt động của dự án đầu tư;
+ Dự án đầu tư chấm dứt hoạt động theo điều lệ doanh nghiệp, hợp đồng;
+ Dự án hết thời hạn hoạt động.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Chấm dứt, hoạt động, của dự án đầu tư</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2024-03-28T09:28:34Z</dcterms:created>
  <dc:creator>Apache POI</dc:creator>
</cp:coreProperties>
</file>