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2.001100.000.00.00.H18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583/QĐ-UBND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thay đổi, bổ sung phạm vi, lĩnh vực đánh giá sự phù hợp được chỉ định (cấp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Tiêu chuẩn đo lường chất lượng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Tiếp nhận hồ sơ
Tổ chức đánh giá sự phù hợp khi có nhu cầu thay đổi, bổ sung phạm vi, lĩnh vực được chỉ định nộp hồ sơ đề nghị đăng ký thay đổi, bổ sung chỉ định tổ chức đánh giá sự phù hợp đối với các sản phẩm, hàng hóa được quản lý bởi các quy chuẩn kỹ thuật địa phương do Ủy ban nhân dân tỉnh, thành phố trực thuộc trung ương ban hành thì gửi hồ sơ đăng ký chỉ định đến Bộ phận Tiếp nhận và Trả kết quả của Sở Khoa học và Công nghệ tỉnh Điện Biên số 886 đường Võ Nguyên Giáp, thành phố Điện Biên Phủ, tỉnh Điện Biên.</w:t>
      </w:r>
    </w:p>
    <w:p>
      <w:pPr>
        <w:spacing w:after="0" w:before="0" w:lineRule="auto" w:line="276"/>
        <w:jc w:val="both"/>
      </w:pPr>
      <w:r>
        <w:rPr>
          <w:rFonts w:ascii="Times New Roman" w:hAnsi="Times New Roman" w:cs="Times New Roman" w:eastAsia="Times New Roman"/>
          <w:b w:val="false"/>
          <w:sz w:val="26"/>
        </w:rPr>
        <w:t>Bước 2: Xử lý hồ sơ
- Trong thời hạn 03 ngày làm việc kể từ ngày nhận được hồ sơ đăng ký, nếu hồ sơ không đầy đủ, hợp lệ theo quy định, Cơ quan chỉ định thông báo bằng văn bản yêu cầu tổ chức đánh giá sự phù hợp sửa đổi, bổ sung hồ sơ;</w:t>
      </w:r>
    </w:p>
    <w:p>
      <w:pPr>
        <w:spacing w:after="0" w:before="0" w:lineRule="auto" w:line="276"/>
        <w:jc w:val="both"/>
      </w:pPr>
      <w:r>
        <w:rPr>
          <w:rFonts w:ascii="Times New Roman" w:hAnsi="Times New Roman" w:cs="Times New Roman" w:eastAsia="Times New Roman"/>
          <w:b w:val="false"/>
          <w:sz w:val="26"/>
        </w:rPr>
        <w:t>- Trong thời hạn 20 ngày kể từ khi nhận được hồ sơ đăng ký đầy đủ:</w:t>
      </w:r>
    </w:p>
    <w:p>
      <w:pPr>
        <w:spacing w:after="0" w:before="0" w:lineRule="auto" w:line="276"/>
        <w:jc w:val="both"/>
      </w:pPr>
      <w:r>
        <w:rPr>
          <w:rFonts w:ascii="Times New Roman" w:hAnsi="Times New Roman" w:cs="Times New Roman" w:eastAsia="Times New Roman"/>
          <w:b w:val="false"/>
          <w:sz w:val="26"/>
        </w:rPr>
        <w:t>+ Trường hợp hồ sơ đăng ký đầy đủ và hợp lệ, Cơ quan chỉ định tiến hành thẩm xét hồ sơ, không tổ chức đánh giá năng lực thực tế.</w:t>
      </w:r>
    </w:p>
    <w:p>
      <w:pPr>
        <w:spacing w:after="0" w:before="0" w:lineRule="auto" w:line="276"/>
        <w:jc w:val="both"/>
      </w:pPr>
      <w:r>
        <w:rPr>
          <w:rFonts w:ascii="Times New Roman" w:hAnsi="Times New Roman" w:cs="Times New Roman" w:eastAsia="Times New Roman"/>
          <w:b w:val="false"/>
          <w:sz w:val="26"/>
        </w:rPr>
        <w:t>+ Trường hợp hồ sơ đăng ký đầy đủ nhưng có nội dung không phù hợp hoặc có yêu cầu của cơ quan nhà nước có thẩm quyền hoặc có thông tin, phản ánh về dấu hiệu vi phạm liên quan đến hồ sơ thì cơ quan chỉ định tổ chức đánh giá năng lực thực tế tại tổ chức đánh giá sự phù hợp. Cơ quan chỉ định cử chuyên gia hoặc thành lập đoàn đánh giá và phải thông báo bằng văn bản cho tổ chức đánh giá sự phù hợp về việc đánh giá năng lực thực tế tại tổ chức đánh giá sự phù hợp. Chuyên gia hoặc đoàn đánh giá phải hoàn thành việc đánh giá năng lực thực tế tại tổ chức đánh giá sự phù hợp và ký biên bản đánh giá thực tế.</w:t>
      </w:r>
    </w:p>
    <w:p>
      <w:pPr>
        <w:spacing w:after="0" w:before="0" w:lineRule="auto" w:line="276"/>
        <w:jc w:val="both"/>
      </w:pPr>
      <w:r>
        <w:rPr>
          <w:rFonts w:ascii="Times New Roman" w:hAnsi="Times New Roman" w:cs="Times New Roman" w:eastAsia="Times New Roman"/>
          <w:b w:val="false"/>
          <w:sz w:val="26"/>
        </w:rPr>
        <w:t xml:space="preserve"> Trường hợp, tổ chức đánh giá sự phù hợp phải khắc phục các nội dung quy định trong biên bản đánh giá thực tế, trong thời hạn 30 ngày kể từ ngày ký biên bản đánh giá thực tế, tổ chức đánh giá sự phù hợp phải gửi báo cáo kết quả hành động khắc phục về Cơ quan chỉ định; trường hợp phải kéo dài thêm thời hạn thì phải nêu rõ thời hạn chính thức hoàn thành việc khắc phục các nội dung còn lại.
Chi phí phục vụ hoạt động đánh giá của chuyên gia hoặc đoàn đánh giá do tổ chức đánh giá sự phù hợp đăng ký chỉ định bảo đảm.</w:t>
      </w:r>
    </w:p>
    <w:p>
      <w:pPr>
        <w:spacing w:after="0" w:before="0" w:lineRule="auto" w:line="276"/>
        <w:jc w:val="both"/>
      </w:pPr>
      <w:r>
        <w:rPr>
          <w:rFonts w:ascii="Times New Roman" w:hAnsi="Times New Roman" w:cs="Times New Roman" w:eastAsia="Times New Roman"/>
          <w:b w:val="false"/>
          <w:sz w:val="26"/>
        </w:rPr>
        <w:t>- Trong thời hạn 05 ngày làm việc kể từ ngày nhận được báo cáo kết quả hành động khắc phục theo biên bản đánh giá thực tế, nếu tổ chức đánh giá sự phù hợp đáp ứng yêu cầu theo quy định, Cơ quan chỉ định ban hành quyết định chỉ định cho tổ chức đánh giá sự phù hợp. Thời hạn hiệu lực của quyết định chỉ định không quá 05 năm kể từ ngày ký ban hành.
Trong trường hợp từ chối việc chỉ định, Cơ quan chỉ định phải thông báo lý do bằng văn bản cho tổ chức đánh giá sự phù hợp.</w:t>
      </w:r>
    </w:p>
    <w:p>
      <w:pPr>
        <w:spacing w:after="0" w:before="0" w:lineRule="auto" w:line="276"/>
        <w:jc w:val="both"/>
      </w:pPr>
      <w:r>
        <w:rPr>
          <w:rFonts w:ascii="Times New Roman" w:hAnsi="Times New Roman" w:cs="Times New Roman" w:eastAsia="Times New Roman"/>
          <w:b w:val="false"/>
          <w:sz w:val="26"/>
        </w:rPr>
        <w:t>Bước 3: Ban hành Quyết định chỉ định tổ chức đánh giá sự phù hợp
Nếu tổ chức đánh giá sự phù hợp đáp ứng yêu cầu theo quy định,Cơ quan chỉ định ban hành quyết định chỉ định cho tổ chức đánh giá sự phù hợp. Thời hạn hiệu lực của quyết định chỉ định không quá 05 năm kể từ ngày ký ban hành.
Trong trường hợp từ chối việc chỉ định, Cơ quan chỉ định phải thông báo lý do bằng văn bản cho tổ chức đánh giá sự phù hợp.</w:t>
      </w:r>
    </w:p>
    <w:p>
      <w:pPr>
        <w:spacing w:after="0" w:before="0" w:lineRule="auto" w:line="276"/>
        <w:jc w:val="both"/>
      </w:pPr>
      <w:r>
        <w:rPr>
          <w:rFonts w:ascii="Times New Roman" w:hAnsi="Times New Roman" w:cs="Times New Roman" w:eastAsia="Times New Roman"/>
          <w:b w:val="false"/>
          <w:sz w:val="26"/>
        </w:rPr>
        <w:t>Bước 4: Trả kết quả
Trả kết quả trực tiếp tại trụ sở Cơ quan chỉ định hoặc theo đường bưu điện.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 Trong thời hạn 03 ngày làm việc kể từ ngày nhận được hồ sơ đăng ký: Cơ quan chỉ định thông báo bằng văn bản yêu cầu tổ chức đánh giá sự phù hợp sửa đổi, bổ sung hồ sơ;  - Trong thời hạn 20 ngày kể từ khi nhận được hồ sơ đăng ký đầy đủ: Cơ quan chỉ định đánh giá năng lực thực tế tại tổ chức đánh giá sự phù hợp và ký biên bản đánh giá thực tế.  - Trong thời hạn 05 ngày làm việc kể từ ngày nhận được báo cáo kết quả hành động khắc phục theo biên bản đánh giá thực tế: Cơ quan chỉ định ban hành quyết định chỉ định  Trong trường hợp từ chối việc chỉ định, Cơ quan chỉ định phải thông báo lý do bằng văn bản cho tổ chức đánh giá sự phù hợp. </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	 - Trong thời hạn 03 ngày làm việc kể từ ngày nhận được hồ sơ đăng ký: Cơ quan chỉ định thông báo bằng văn bản yêu cầu tổ chức đánh giá sự phù hợp sửa đổi, bổ sung hồ sơ;  - Trong thời hạn 20 ngày kể từ khi nhận được hồ sơ đăng ký đầy đủ: Cơ quan chỉ định đánh giá năng lực thực tế tại tổ chức đánh giá sự phù hợp và ký biên bản đánh giá thực tế.  - Trong thời hạn 05 ngày làm việc kể từ ngày nhận được báo cáo kết quả hành động khắc phục theo biên bản đánh giá thực tế: Cơ quan chỉ định ban hành quyết định chỉ định  Trong trường hợp từ chối việc chỉ định, Cơ quan chỉ định phải thông báo lý do bằng văn bản cho tổ chức đánh giá sự phù hợp. </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đăng ký thay đổi, bổ sung phạm vi, lĩnh vực được chỉ định theo quy định tại Mẫu số 09 Phụ lục ban hành kèm theo Nghị định số 74/2018/NĐ-CP</w:t>
            </w:r>
          </w:p>
        </w:tc>
        <w:tc>
          <w:p/>
          <w:p>
            <w:pPr>
              <w:spacing w:after="0" w:before="0" w:lineRule="auto" w:line="276"/>
              <w:jc w:val="left"/>
            </w:pPr>
            <w:r>
              <w:rPr>
                <w:rFonts w:ascii="Times New Roman" w:hAnsi="Times New Roman" w:cs="Times New Roman" w:eastAsia="Times New Roman"/>
                <w:b w:val="false"/>
                <w:sz w:val="26"/>
              </w:rPr>
              <w:t>ĐƠN ĐĂNG KÝ THAY ĐỔI,BỔ SUNG PHẠM VI,LĨNH VỰC ĐƯỢC CHỈ ĐỊNH.docx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chứng nhận đăng ký hoạt động thử nghiệm, giám định, kiểm định, chứng nhận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Quyết định chỉ định tổ chức đánh giá sự phù hợp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Danh sách thử nghiệm viên, giám định viên, kiểm định viên, chuyên gia đánh giá đối với phạm vi, lĩnh vực đăng ký thay đổi, bổ sung theo quy định tại Mẫu số 05 Phụ lục ban hành kèm theo Nghị định số 74/2018/NĐ-CP</w:t>
            </w:r>
          </w:p>
        </w:tc>
        <w:tc>
          <w:p/>
          <w:p>
            <w:pPr>
              <w:spacing w:after="0" w:before="0" w:lineRule="auto" w:line="276"/>
              <w:jc w:val="left"/>
            </w:pPr>
            <w:r>
              <w:rPr>
                <w:rFonts w:ascii="Times New Roman" w:hAnsi="Times New Roman" w:cs="Times New Roman" w:eastAsia="Times New Roman"/>
                <w:b w:val="false"/>
                <w:sz w:val="26"/>
              </w:rPr>
              <w:t>DANH SÁCH THỬ NGHIỆM VIÊN,GIÁM ĐỊNH VIÊN,KIỂM ĐỊNH VIÊN,CHUYÊN GIA ĐÁNH GIÁ.docx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Chứng chỉ đào tạo chuyên môn, nghiệp vụ kèm theo Danh sách thử nghiệm viên, giám định viên, kiểm định viên, chuyên gia đánh giá</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Danh mục tài liệu kỹ thuật, tiêu chuẩn và quy trình thử nghiệm, giám định, kiểm định, chứng nhận tương ứng đối với phạm vi, lĩnh vực đăng ký thay đổi, bổ sung theo quy định tại Mẫu số 06 Phụ lục ban hành kèm theo Nghị định số 74/2018/NĐ-CP có bản sao Quy trình, thủ tục thử nghiệm, giám định, kiểm định, chứng nhận tương ứng kèm theo</w:t>
            </w:r>
          </w:p>
        </w:tc>
        <w:tc>
          <w:p/>
          <w:p>
            <w:pPr>
              <w:spacing w:after="0" w:before="0" w:lineRule="auto" w:line="276"/>
              <w:jc w:val="left"/>
            </w:pPr>
            <w:r>
              <w:rPr>
                <w:rFonts w:ascii="Times New Roman" w:hAnsi="Times New Roman" w:cs="Times New Roman" w:eastAsia="Times New Roman"/>
                <w:b w:val="false"/>
                <w:sz w:val="26"/>
              </w:rPr>
              <w:t>DANH MỤC TÀI LIỆU KỸ THUẬT, TIÊU CHUẨN VÀ QUY TRÌNH,THỦ TỤC THỬ NGHIỆM,GIÁM ĐỊNH,KIỂM ĐỊNH,CHỨNG NHẬN.docx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Danh mục máy móc, thiết bị thử nghiệm đối với phạm vi, lĩnh vực đăng ký thay đổi, bổ sung (đối với tổ chức thử nghiệm, kiểm định) theo quy định tại Mẫu số 07 Phụ lục ban hành kèm theo Nghị định số 74/2018/NĐ-CP, có bản sao Giấy chứng nhận kiểm định, hiệu chuẩn, thử nghiệm còn hiệu lực kèm theo</w:t>
            </w:r>
          </w:p>
        </w:tc>
        <w:tc>
          <w:p/>
          <w:p>
            <w:pPr>
              <w:spacing w:after="0" w:before="0" w:lineRule="auto" w:line="276"/>
              <w:jc w:val="left"/>
            </w:pPr>
            <w:r>
              <w:rPr>
                <w:rFonts w:ascii="Times New Roman" w:hAnsi="Times New Roman" w:cs="Times New Roman" w:eastAsia="Times New Roman"/>
                <w:b w:val="false"/>
                <w:sz w:val="26"/>
              </w:rPr>
              <w:t>DANH MỤC MÁY MÓC, THIẾT BỊ PHỤC VỤ THỬ NGHIỆM,KIỂM ĐỊNH.docx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Chứng chỉ công nhận năng lực thử nghiệm, giám định, kiểm định, chứng nhận do tổ chức công nhận hợp pháp cấp (nếu có) đối với phạm vi, lĩnh vực đăng ký thay đổi, bổ sung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kết quả thử nghiệm thành thạo hoặc so sánh liên phòng đối với phương pháp thử của sản phẩm, hàng hóa đăng ký thay đổi, bổ sung (đối với tổ chức thử nghiệm)</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Đối với các phép thử không có đơn vị tổ chức thử nghiệm thành thạo hoặc không thể thực hiện so sánh liên phòng do không có phòng thử nghiệm nào trong nước phân tích thì phải bổ sung hồ sơ phương pháp thử, xác nhận giá trị sử dụng của phương pháp thử và chất chuẩn để kiểm soát chất lượng thử nghiệm</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 Tổ chức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Khoa học và Công nghệ - tỉnh Điện Biên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Khoa học và Công nghệ tỉnh Điện Biên số 886 đường Võ Nguyên Giáp, thành phố Điện Biên Phủ, tỉnh Điện Biên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chỉ định tổ chức đánh giá sự phù hợp (Bộ KH&amp;CN)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05/2007/QH12</w:t>
            </w:r>
          </w:p>
        </w:tc>
        <w:tc>
          <w:p/>
          <w:p>
            <w:pPr>
              <w:spacing w:after="0" w:before="0" w:lineRule="auto" w:line="276"/>
              <w:jc w:val="left"/>
            </w:pPr>
            <w:r>
              <w:rPr>
                <w:rFonts w:ascii="Times New Roman" w:hAnsi="Times New Roman" w:cs="Times New Roman" w:eastAsia="Times New Roman"/>
                <w:b w:val="false"/>
                <w:sz w:val="26"/>
              </w:rPr>
              <w:t>Luật 05/2007/QH12 - Chất lượng sản phẩm, hàng hoá</w:t>
            </w:r>
          </w:p>
        </w:tc>
        <w:tc>
          <w:p/>
          <w:p>
            <w:pPr>
              <w:spacing w:after="0" w:before="0" w:lineRule="auto" w:line="276"/>
              <w:jc w:val="left"/>
            </w:pPr>
            <w:r>
              <w:rPr>
                <w:rFonts w:ascii="Times New Roman" w:hAnsi="Times New Roman" w:cs="Times New Roman" w:eastAsia="Times New Roman"/>
                <w:b w:val="false"/>
                <w:sz w:val="26"/>
              </w:rPr>
              <w:t>21-11-2007</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132/2008/NĐ-CP</w:t>
            </w:r>
          </w:p>
        </w:tc>
        <w:tc>
          <w:p/>
          <w:p>
            <w:pPr>
              <w:spacing w:after="0" w:before="0" w:lineRule="auto" w:line="276"/>
              <w:jc w:val="left"/>
            </w:pPr>
            <w:r>
              <w:rPr>
                <w:rFonts w:ascii="Times New Roman" w:hAnsi="Times New Roman" w:cs="Times New Roman" w:eastAsia="Times New Roman"/>
                <w:b w:val="false"/>
                <w:sz w:val="26"/>
              </w:rPr>
              <w:t>Nghị định 132/2008/NĐ-CP - Quy định chi tiết thi hành một số điều của Luật chất lượng sản phẩm, hàng hóa</w:t>
            </w:r>
          </w:p>
        </w:tc>
        <w:tc>
          <w:p/>
          <w:p>
            <w:pPr>
              <w:spacing w:after="0" w:before="0" w:lineRule="auto" w:line="276"/>
              <w:jc w:val="left"/>
            </w:pPr>
            <w:r>
              <w:rPr>
                <w:rFonts w:ascii="Times New Roman" w:hAnsi="Times New Roman" w:cs="Times New Roman" w:eastAsia="Times New Roman"/>
                <w:b w:val="false"/>
                <w:sz w:val="26"/>
              </w:rPr>
              <w:t>31-12-2008</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154/2018/NĐ-CP</w:t>
            </w:r>
          </w:p>
        </w:tc>
        <w:tc>
          <w:p/>
          <w:p>
            <w:pPr>
              <w:spacing w:after="0" w:before="0" w:lineRule="auto" w:line="276"/>
              <w:jc w:val="left"/>
            </w:pPr>
            <w:r>
              <w:rPr>
                <w:rFonts w:ascii="Times New Roman" w:hAnsi="Times New Roman" w:cs="Times New Roman" w:eastAsia="Times New Roman"/>
                <w:b w:val="false"/>
                <w:sz w:val="26"/>
              </w:rPr>
              <w:t>Nghị định 154/2018/NĐ-CP-Sửa đổi, bổ sung, bãi bỏ một số quy định về điều kiện đầu tư, kinh doanh trong lĩnh vực quản lý nhà nước của Bộ Khoa học và Công nghệ và một số quy định về kiểm tra chuyên ngành</w:t>
            </w:r>
          </w:p>
        </w:tc>
        <w:tc>
          <w:p/>
          <w:p>
            <w:pPr>
              <w:spacing w:after="0" w:before="0" w:lineRule="auto" w:line="276"/>
              <w:jc w:val="left"/>
            </w:pPr>
            <w:r>
              <w:rPr>
                <w:rFonts w:ascii="Times New Roman" w:hAnsi="Times New Roman" w:cs="Times New Roman" w:eastAsia="Times New Roman"/>
                <w:b w:val="false"/>
                <w:sz w:val="26"/>
              </w:rPr>
              <w:t>09-11-2018</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74/2018/NĐ-CP</w:t>
            </w:r>
          </w:p>
        </w:tc>
        <w:tc>
          <w:p/>
          <w:p>
            <w:pPr>
              <w:spacing w:after="0" w:before="0" w:lineRule="auto" w:line="276"/>
              <w:jc w:val="left"/>
            </w:pPr>
            <w:r>
              <w:rPr>
                <w:rFonts w:ascii="Times New Roman" w:hAnsi="Times New Roman" w:cs="Times New Roman" w:eastAsia="Times New Roman"/>
                <w:b w:val="false"/>
                <w:sz w:val="26"/>
              </w:rPr>
              <w:t>Nghị định 74/2018/NĐ-CP</w:t>
            </w:r>
          </w:p>
        </w:tc>
        <w:tc>
          <w:p/>
          <w:p>
            <w:pPr>
              <w:spacing w:after="0" w:before="0" w:lineRule="auto" w:line="276"/>
              <w:jc w:val="left"/>
            </w:pPr>
            <w:r>
              <w:rPr>
                <w:rFonts w:ascii="Times New Roman" w:hAnsi="Times New Roman" w:cs="Times New Roman" w:eastAsia="Times New Roman"/>
                <w:b w:val="false"/>
                <w:sz w:val="26"/>
              </w:rPr>
              <w:t>15-05-2018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Điều kiện đối với tổ chức thử nghiệm được chỉ định
+ Đã được cấp giấy chứng nhận đăng ký hoạt động thử nghiệm theo quy định tại Nghị định số 107/2016/NĐ-CP, trong đó có lĩnh vực thử nghiệm đăng ký chỉ định;
+ Phải thực hiện việc thử nghiệm thành thạo hoặc so sánh liên phòng đối với phương pháp thử của sản phẩm, hàng hóa đăng ký chỉ định.
Đối với các phép thử không có đơn vị tổ chức thử nghiệm thành thạo hoặc không thể thực hiện so sánh liên phòng do không có phòng thử nghiệm nào trong nước phân tích thì phải bổ sung hồ sơ phương pháp thử, xác nhận giá trị sử dụng của phương pháp thử và chất chuẩn để kiểm soát chất lượng thử nghiệm.
- Điều kiện đối với tổ chức kiểm định, giám định, chứng nhận được chỉ định:   
Đã được cấp giấy chứng nhận đăng ký hoạt động kiểm định, giám định, chứng nhận theo quy định tại Nghị định số 107/2016/NĐ-CP, trong đó có lĩnh vực kiểm định, giám định, chứng nhận đăng ký chỉ định.</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2024-03-28T12:47:22Z</dcterms:created>
  <dc:creator>Apache POI</dc:creator>
</cp:coreProperties>
</file>