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2.001207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688/QĐ-BKHCN</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đăng ký công bố hợp chuẩn dựa trên kết quả tự đánh giá của tổ chức, cá nhân sản xuất, kinh doanh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Tiêu chuẩn đo lường chất lượng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1:Tiếp nhận hồ sơ:
Tổ chức, cá nhân có nhu cầu đăng ký sản phẩm, hàng hóa, dịch vụ, quá trình, môi trường phù hợp với tiêu chuẩn tương ứng nộp hồ sơ đăng ký công bố hợp chuẩn tới Chi cục Tiêu chuẩn Đo lường Chất lượng nơi tổ chức, cá nhân sản xuất đăng ký doanh nghiệp hoặc đăng ký hộ kinh doanh.
Thời gian tiếp nhận hồ sơ: Trong giờ hành chính vào ngày làm việc trong tuần (thứ bảy, chủ nhật, ngày lễ nghỉ)</w:t>
      </w:r>
    </w:p>
    <w:p>
      <w:pPr>
        <w:spacing w:after="0" w:before="0" w:lineRule="auto" w:line="276"/>
        <w:jc w:val="both"/>
      </w:pPr>
      <w:r>
        <w:rPr>
          <w:rFonts w:ascii="Times New Roman" w:hAnsi="Times New Roman" w:cs="Times New Roman" w:eastAsia="Times New Roman"/>
          <w:b w:val="false"/>
          <w:sz w:val="26"/>
        </w:rPr>
        <w:t>Bước 2:Xử lý hồ sơ:
Chi cục Tiêu chuẩn Đo lường Chất lượng kiểm tra tính đầy đủ của hồ sơ:
- Trường hợp hồ sơ không đầy đủ theo quy định, trong thời hạn 03 (ba) ngày làm việc, Chi cục Tiêu chuẩn Đo lường Chất lượng (sau đây viết tắt là Chi cục) thông báo bằng văn bản đến tổ chức, cá nhân công bố hợp chuẩn đề nghị bổ sung các loại giấy tờ theo quy định. Sau 15 (mười lăm) ngày làm việc kể từ ngày gửi văn bản mà hồ sơ đăng ký công bố hợp chuẩn không được bổ sung đầy đủ theo quy định, Chi cục có quyền hủy bỏ việc xử lý đối với hồ sơ này.
- Trường hợp hồ sơ công bố hợp chuẩn đầy đủ và hợp lệ, Chi cục ban hành Thông báo tiếp nhận hồ sơ đăng ký công bố hợp chuẩn cho tổ chức, cá nhân công bố hợp chuẩn.
- Trường hợp hồ sơ đăng ký công bố hợp chuẩn đầy đủ nhưng không hợp lệ, Chi cục thông báo bằng văn bản cho tổ chức, cá nhân công bố hợp chuẩn về lý do không tiếp nhận hồ sơ.</w:t>
      </w:r>
    </w:p>
    <w:p>
      <w:pPr>
        <w:spacing w:after="0" w:before="0" w:lineRule="auto" w:line="276"/>
        <w:jc w:val="both"/>
      </w:pPr>
      <w:r>
        <w:rPr>
          <w:rFonts w:ascii="Times New Roman" w:hAnsi="Times New Roman" w:cs="Times New Roman" w:eastAsia="Times New Roman"/>
          <w:b w:val="false"/>
          <w:sz w:val="26"/>
        </w:rPr>
        <w:t>Bước 3: Trả kết quả
Trả kết quả trực tiếp tại trụ sở Chi cục Tiêu chuẩn Đo lường Chất lượnghoặc theo đường bưu điện.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Ðối với hồ sơ đăng ký công bố hợp chuẩn không đầy đủ, trong thời hạn 03 (ba) ngày làm việc kể từ ngày nhận được hồ sơ đăng ký công bố hợp chuẩn, Chi cục thông báo bằng văn bản đề nghị bổ sung các loại giấy tờ theo quy định. Sau thời hạn 15 (mười lăm) ngày làm việc kể từ ngày gửi văn bản đề nghị mà hồ sơ đăng ký công bố hợp chuẩn không được bổ sung đầy đủ theo quy định, Chi cục có quyền huỷ bỏ việc xử lý đối với hồ sơ này.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Ðối với hồ sơ đăng ký công bố hợp chuẩn không đầy đủ, trong thời hạn 03 (ba) ngày làm việc kể từ ngày nhận được hồ sơ đăng ký công bố hợp chuẩn, Chi cục thông báo bằng văn bản đề nghị bổ sung các loại giấy tờ theo quy định. Sau thời hạn 15 (mười lăm) ngày làm việc kể từ ngày gửi văn bản đề nghị mà hồ sơ đăng ký công bố hợp chuẩn không được bổ sung đầy đủ theo quy định, Chi cục có quyền huỷ bỏ việc xử lý đối với hồ sơ này.</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Ðối với hồ sơ đăng ký công bố hợp chuẩn đầy đủ theo quy định, trong thời gian 05 (năm) ngày làm việc kể từ ngày nhận được hồ sơ đăng ký công bố hợp chuẩn, Chi cục phải tổ chức kiểm tra tính hợp lệ của hồ sơ đăng ký công bố hợp chuẩn để xử lý như sau: + Trường hợp hồ sơ đăng ký công bố hợp chuẩn đầy đủ và hợp lệ, Chi cục Tiêu chuẩn ban hành Thông báo tiếp nhận hồ sơ đăng ký công bố hợp chuẩn cho tổ chức, cá nhân công bố hợp chuẩn. + Trường hợp hồ sơ đăng ký công bố hợp chuẩn đầy đủ nhưng không hợp lệ, Chi cục thông báo bằng văn bản cho tổ chức, cá nhân công bố hợp chuẩn về lý do không tiếp nhận hồ sơ. </w:t>
            </w:r>
          </w:p>
        </w:tc>
        <w:tc>
          <w:p/>
          <w:p>
            <w:pPr>
              <w:spacing w:after="0" w:before="0" w:lineRule="auto" w:line="276"/>
              <w:jc w:val="left"/>
            </w:pPr>
            <w:r>
              <w:rPr>
                <w:rFonts w:ascii="Times New Roman" w:hAnsi="Times New Roman" w:cs="Times New Roman" w:eastAsia="Times New Roman"/>
                <w:b w:val="false"/>
                <w:sz w:val="26"/>
              </w:rPr>
              <w:t>Lệ phí : 150000 Đồng</w:t>
            </w:r>
          </w:p>
        </w:tc>
        <w:tc>
          <w:p/>
          <w:p>
            <w:pPr>
              <w:spacing w:after="0" w:before="0" w:lineRule="auto" w:line="276"/>
              <w:jc w:val="left"/>
            </w:pPr>
            <w:r>
              <w:rPr>
                <w:rFonts w:ascii="Times New Roman" w:hAnsi="Times New Roman" w:cs="Times New Roman" w:eastAsia="Times New Roman"/>
                <w:b w:val="false"/>
                <w:sz w:val="26"/>
              </w:rPr>
              <w:t>- Ðối với hồ sơ đăng ký công bố hợp chuẩn đầy đủ theo quy định, trong thời gian 05 (năm) ngày làm việc kể từ ngày nhận được hồ sơ đăng ký công bố hợp chuẩn, Chi cục phải tổ chức kiểm tra tính hợp lệ của hồ sơ đăng ký công bố hợp chuẩn để xử lý như sau:
+ Trường hợp hồ sơ đăng ký công bố hợp chuẩn đầy đủ và hợp lệ, Chi cục Tiêu chuẩn ban hành Thông báo tiếp nhận hồ sơ đăng ký công bố hợp chuẩn cho tổ chức, cá nhân công bố hợp chuẩn.
+ Trường hợp hồ sơ đăng ký công bố hợp chuẩn đầy đủ nhưng không hợp lệ, Chi cục thông báo bằng văn bản cho tổ chức, cá nhân công bố hợp chuẩn về lý do không tiếp nhận hồ sơ.</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Ðối với hồ sơ đăng ký công bố hợp chuẩn không đầy đủ, trong thời hạn 03 (ba) ngày làm việc kể từ ngày nhận được hồ sơ đăng ký công bố hợp chuẩn, Chi cục thông báo bằng văn bản đề nghị bổ sung các loại giấy tờ theo quy định. Sau thời hạn 15 (mười lăm) ngày làm việc kể từ ngày gửi văn bản đề nghị mà hồ sơ đăng ký công bố hợp chuẩn không được bổ sung đầy đủ theo quy định, Chi cục có quyền huỷ bỏ việc xử lý đối với hồ sơ này.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Ðối với hồ sơ đăng ký công bố hợp chuẩn không đầy đủ, trong thời hạn 03 (ba) ngày làm việc kể từ ngày nhận được hồ sơ đăng ký công bố hợp chuẩn, Chi cục thông báo bằng văn bản đề nghị bổ sung các loại giấy tờ theo quy định. Sau thời hạn 15 (mười lăm) ngày làm việc kể từ ngày gửi văn bản đề nghị mà hồ sơ đăng ký công bố hợp chuẩn không được bổ sung đầy đủ theo quy định, Chi cục có quyền huỷ bỏ việc xử lý đối với hồ sơ này.</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Ðối với hồ sơ đăng ký công bố hợp chuẩn đầy đủ theo quy định, trong thời gian 05 (năm) ngày làm việc kể từ ngày nhận được hồ sơ đăng ký công bố hợp chuẩn, Chi cục phải tổ chức kiểm tra tính hợp lệ của hồ sơ đăng ký công bố hợp chuẩn để xử lý như sau: + Trường hợp hồ sơ đăng ký công bố hợp chuẩn đầy đủ và hợp lệ, Chi cục Tiêu chuẩn ban hành Thông báo tiếp nhận hồ sơ đăng ký công bố hợp chuẩn cho tổ chức, cá nhân công bố hợp chuẩn. + Trường hợp hồ sơ đăng ký công bố hợp chuẩn đầy đủ nhưng không hợp lệ, Chi cục thông báo bằng văn bản cho tổ chức, cá nhân công bố hợp chuẩn về lý do không tiếp nhận hồ sơ. </w:t>
            </w:r>
          </w:p>
        </w:tc>
        <w:tc>
          <w:p/>
          <w:p>
            <w:pPr>
              <w:spacing w:after="0" w:before="0" w:lineRule="auto" w:line="276"/>
              <w:jc w:val="left"/>
            </w:pPr>
            <w:r>
              <w:rPr>
                <w:rFonts w:ascii="Times New Roman" w:hAnsi="Times New Roman" w:cs="Times New Roman" w:eastAsia="Times New Roman"/>
                <w:b w:val="false"/>
                <w:sz w:val="26"/>
              </w:rPr>
              <w:t>Lệ phí : 150000 Đồng</w:t>
            </w:r>
          </w:p>
        </w:tc>
        <w:tc>
          <w:p/>
          <w:p>
            <w:pPr>
              <w:spacing w:after="0" w:before="0" w:lineRule="auto" w:line="276"/>
              <w:jc w:val="left"/>
            </w:pPr>
            <w:r>
              <w:rPr>
                <w:rFonts w:ascii="Times New Roman" w:hAnsi="Times New Roman" w:cs="Times New Roman" w:eastAsia="Times New Roman"/>
                <w:b w:val="false"/>
                <w:sz w:val="26"/>
              </w:rPr>
              <w:t>- Ðối với hồ sơ đăng ký công bố hợp chuẩn đầy đủ theo quy định, trong thời gian 05 (năm) ngày làm việc kể từ ngày nhận được hồ sơ đăng ký công bố hợp chuẩn, Chi cục phải tổ chức kiểm tra tính hợp lệ của hồ sơ đăng ký công bố hợp chuẩn để xử lý như sau:
+ Trường hợp hồ sơ đăng ký công bố hợp chuẩn đầy đủ và hợp lệ, Chi cục Tiêu chuẩn ban hành Thông báo tiếp nhận hồ sơ đăng ký công bố hợp chuẩn cho tổ chức, cá nhân công bố hợp chuẩn.
+ Trường hợp hồ sơ đăng ký công bố hợp chuẩn đầy đủ nhưng không hợp lệ, Chi cục thông báo bằng văn bản cho tổ chức, cá nhân công bố hợp chuẩn về lý do không tiếp nhận hồ sơ.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y bản chính giấy tờ chứng minh về việc thực hiện sản xuất, kinh doanh của tổ chức, cá nhân công bố hợp chuẩn (Giấy đăng ký doanh nghiệp hoặc Giấy đăng ký kinh doanh hoặc Giấy chứng nhận đăng ký hộ kinh doanh hoặc Giấy chứng nhận đầu tư hoặc Quyết định thành lập hoặc Giấy tờ khác theo quy định của pháp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công bố hợp chuẩn dựa trên kết quả tự đánh giá của tổ chức, cá nhân sản xuất, kinh doanh</w:t>
            </w:r>
          </w:p>
        </w:tc>
        <w:tc>
          <w:p/>
          <w:p>
            <w:pPr>
              <w:spacing w:after="0" w:before="0" w:lineRule="auto" w:line="276"/>
              <w:jc w:val="left"/>
            </w:pPr>
            <w:r>
              <w:rPr>
                <w:rFonts w:ascii="Times New Roman" w:hAnsi="Times New Roman" w:cs="Times New Roman" w:eastAsia="Times New Roman"/>
                <w:b w:val="false"/>
                <w:sz w:val="26"/>
              </w:rPr>
              <w:t>Mẫu.docx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y bản chính tiêu chuẩn sử dụng làm căn cứ để công bố</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Trường hợp tổ chức, cá nhân công bố hợp chuẩn chưa được tổ chức chứng nhận đã đăng ký cấp Giấy chứng nhận phù hợp tiêu chuẩn về hệ thông quản lý (ISO 9001, ISO 22000, HACCP…), thì hồ sơ đăng ký công bố hợp chuẩn của tổ chức, cá nhân phải có quy trình sản xuất kèm theo kế hoạch kiểm soát chất lượng được xây dựng, áp dụng và kế hoạch giám sát hệ thống quản lý.</w:t>
            </w:r>
          </w:p>
        </w:tc>
        <w:tc>
          <w:p/>
          <w:p>
            <w:pPr>
              <w:spacing w:after="0" w:before="0" w:lineRule="auto" w:line="276"/>
              <w:jc w:val="left"/>
            </w:pPr>
            <w:r>
              <w:rPr>
                <w:rFonts w:ascii="Times New Roman" w:hAnsi="Times New Roman" w:cs="Times New Roman" w:eastAsia="Times New Roman"/>
                <w:b w:val="false"/>
                <w:sz w:val="26"/>
              </w:rPr>
              <w:t>KẾ HOẠCH KIỂM SOÁT CHẤT LƯỢNG.doc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tổ chức, cá nhân công bố hợp chuẩn được tổ chức chứng nhận đã đăng ký cấp Giấy chứng nhận phù hợp tiêu chuẩn về hệ thống quản lý (ISO 9001, ISO 22000, HACCP…), thì hồ sơ đăng ký công bố hợp chuẩn của tổ chức, cá nhân phải có bản sao y bản chính Giấy chứng nhận phù hợp tiêu chuẩn về hệ thống quản lý còn hiệu lực.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Báo cáo đánh giá hợp chuẩn kèm theo bản sao y bản chính Phiếu kết quả thử nghiệm mẫu trong vòng 12 tháng tính đến thời điểm nộp hồ sơ đăng ký công bố hợp chuẩn của tổ chức thử nghiệm đã đăng ký.  Trong quá trình xem xét hồ sơ, nếu cần thiết sẽ xem xét, đối chiếu với bản gốc hoặc yêu cầu bổ sung bản sao có chứng thực</w:t>
            </w:r>
          </w:p>
        </w:tc>
        <w:tc>
          <w:p/>
          <w:p>
            <w:pPr>
              <w:spacing w:after="0" w:before="0" w:lineRule="auto" w:line="276"/>
              <w:jc w:val="left"/>
            </w:pPr>
            <w:r>
              <w:rPr>
                <w:rFonts w:ascii="Times New Roman" w:hAnsi="Times New Roman" w:cs="Times New Roman" w:eastAsia="Times New Roman"/>
                <w:b w:val="false"/>
                <w:sz w:val="26"/>
              </w:rPr>
              <w:t>BÁO CÁO ĐÁNH GIÁ HỢP CHUẨN_HỢP QUY.doc</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02 bộ (01 bộ nộp cho Chi cục; 01 bộ do tổ chức, cá nhân lưu)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Chi cục Tiêu chuẩn Đo lường Chất lượng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Chi cục Tiêu chuẩn Đo lường Chất lượng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Thông báo tiếp nhận hồ sơ công bố hợp chuẩn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68/2006/QH11</w:t>
            </w:r>
          </w:p>
        </w:tc>
        <w:tc>
          <w:p/>
          <w:p>
            <w:pPr>
              <w:spacing w:after="0" w:before="0" w:lineRule="auto" w:line="276"/>
              <w:jc w:val="left"/>
            </w:pPr>
            <w:r>
              <w:rPr>
                <w:rFonts w:ascii="Times New Roman" w:hAnsi="Times New Roman" w:cs="Times New Roman" w:eastAsia="Times New Roman"/>
                <w:b w:val="false"/>
                <w:sz w:val="26"/>
              </w:rPr>
              <w:t>Tiêu chuẩn và quy chuẩn kỹ thuật</w:t>
            </w:r>
          </w:p>
        </w:tc>
        <w:tc>
          <w:p/>
          <w:p>
            <w:pPr>
              <w:spacing w:after="0" w:before="0" w:lineRule="auto" w:line="276"/>
              <w:jc w:val="left"/>
            </w:pPr>
            <w:r>
              <w:rPr>
                <w:rFonts w:ascii="Times New Roman" w:hAnsi="Times New Roman" w:cs="Times New Roman" w:eastAsia="Times New Roman"/>
                <w:b w:val="false"/>
                <w:sz w:val="26"/>
              </w:rPr>
              <w:t>29-06-2006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127/2007/NĐ-CP</w:t>
            </w:r>
          </w:p>
        </w:tc>
        <w:tc>
          <w:p/>
          <w:p>
            <w:pPr>
              <w:spacing w:after="0" w:before="0" w:lineRule="auto" w:line="276"/>
              <w:jc w:val="left"/>
            </w:pPr>
            <w:r>
              <w:rPr>
                <w:rFonts w:ascii="Times New Roman" w:hAnsi="Times New Roman" w:cs="Times New Roman" w:eastAsia="Times New Roman"/>
                <w:b w:val="false"/>
                <w:sz w:val="26"/>
              </w:rPr>
              <w:t>Quy định chi tiết thi hành một số điều của Luật Tiêu chuẩn và Quy chuẩn kỹ thuật</w:t>
            </w:r>
          </w:p>
        </w:tc>
        <w:tc>
          <w:p/>
          <w:p>
            <w:pPr>
              <w:spacing w:after="0" w:before="0" w:lineRule="auto" w:line="276"/>
              <w:jc w:val="left"/>
            </w:pPr>
            <w:r>
              <w:rPr>
                <w:rFonts w:ascii="Times New Roman" w:hAnsi="Times New Roman" w:cs="Times New Roman" w:eastAsia="Times New Roman"/>
                <w:b w:val="false"/>
                <w:sz w:val="26"/>
              </w:rPr>
              <w:t>01-08-2007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05/2007/QH12</w:t>
            </w:r>
          </w:p>
        </w:tc>
        <w:tc>
          <w:p/>
          <w:p>
            <w:pPr>
              <w:spacing w:after="0" w:before="0" w:lineRule="auto" w:line="276"/>
              <w:jc w:val="left"/>
            </w:pPr>
            <w:r>
              <w:rPr>
                <w:rFonts w:ascii="Times New Roman" w:hAnsi="Times New Roman" w:cs="Times New Roman" w:eastAsia="Times New Roman"/>
                <w:b w:val="false"/>
                <w:sz w:val="26"/>
              </w:rPr>
              <w:t>Chất lượng sản phẩm, hàng hoá</w:t>
            </w:r>
          </w:p>
        </w:tc>
        <w:tc>
          <w:p/>
          <w:p>
            <w:pPr>
              <w:spacing w:after="0" w:before="0" w:lineRule="auto" w:line="276"/>
              <w:jc w:val="left"/>
            </w:pPr>
            <w:r>
              <w:rPr>
                <w:rFonts w:ascii="Times New Roman" w:hAnsi="Times New Roman" w:cs="Times New Roman" w:eastAsia="Times New Roman"/>
                <w:b w:val="false"/>
                <w:sz w:val="26"/>
              </w:rPr>
              <w:t>21-11-2007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132/2008/NĐ-CP</w:t>
            </w:r>
          </w:p>
        </w:tc>
        <w:tc>
          <w:p/>
          <w:p>
            <w:pPr>
              <w:spacing w:after="0" w:before="0" w:lineRule="auto" w:line="276"/>
              <w:jc w:val="left"/>
            </w:pPr>
            <w:r>
              <w:rPr>
                <w:rFonts w:ascii="Times New Roman" w:hAnsi="Times New Roman" w:cs="Times New Roman" w:eastAsia="Times New Roman"/>
                <w:b w:val="false"/>
                <w:sz w:val="26"/>
              </w:rPr>
              <w:t>Quy định chi tiết thi hành một số điều của Luật chất lượng sản phẩm, hàng hóa</w:t>
            </w:r>
          </w:p>
        </w:tc>
        <w:tc>
          <w:p/>
          <w:p>
            <w:pPr>
              <w:spacing w:after="0" w:before="0" w:lineRule="auto" w:line="276"/>
              <w:jc w:val="left"/>
            </w:pPr>
            <w:r>
              <w:rPr>
                <w:rFonts w:ascii="Times New Roman" w:hAnsi="Times New Roman" w:cs="Times New Roman" w:eastAsia="Times New Roman"/>
                <w:b w:val="false"/>
                <w:sz w:val="26"/>
              </w:rPr>
              <w:t>31-12-2008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67/2009/NĐ-CP</w:t>
            </w:r>
          </w:p>
        </w:tc>
        <w:tc>
          <w:p/>
          <w:p>
            <w:pPr>
              <w:spacing w:after="0" w:before="0" w:lineRule="auto" w:line="276"/>
              <w:jc w:val="left"/>
            </w:pPr>
            <w:r>
              <w:rPr>
                <w:rFonts w:ascii="Times New Roman" w:hAnsi="Times New Roman" w:cs="Times New Roman" w:eastAsia="Times New Roman"/>
                <w:b w:val="false"/>
                <w:sz w:val="26"/>
              </w:rPr>
              <w:t>Sửa đổi một số điều của Nghị định số 127/2007/NĐ-CP ngày 01 tháng 8 năm 2007 của Chính phủ quy định chi tiết thi hành một số điều của Luật Tiêu chuẩn và Quy chuẩn kỹ thuật và Nghị định số 132/2008/NĐ-CP ngày 31 tháng 12 năm 2008 của Chính phủ quy định chi tiết thi hành một số điều của Luật Chất lượng sản phẩm, hàng hóa</w:t>
            </w:r>
          </w:p>
        </w:tc>
        <w:tc>
          <w:p/>
          <w:p>
            <w:pPr>
              <w:spacing w:after="0" w:before="0" w:lineRule="auto" w:line="276"/>
              <w:jc w:val="left"/>
            </w:pPr>
            <w:r>
              <w:rPr>
                <w:rFonts w:ascii="Times New Roman" w:hAnsi="Times New Roman" w:cs="Times New Roman" w:eastAsia="Times New Roman"/>
                <w:b w:val="false"/>
                <w:sz w:val="26"/>
              </w:rPr>
              <w:t>03-08-2009</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28/2012/TT-BKHCN</w:t>
            </w:r>
          </w:p>
        </w:tc>
        <w:tc>
          <w:p/>
          <w:p>
            <w:pPr>
              <w:spacing w:after="0" w:before="0" w:lineRule="auto" w:line="276"/>
              <w:jc w:val="left"/>
            </w:pPr>
            <w:r>
              <w:rPr>
                <w:rFonts w:ascii="Times New Roman" w:hAnsi="Times New Roman" w:cs="Times New Roman" w:eastAsia="Times New Roman"/>
                <w:b w:val="false"/>
                <w:sz w:val="26"/>
              </w:rPr>
              <w:t>Quy định về công bố hợp chuẩn, công bố hợp quy và phương thức đánh giá sự phù hợp với tiêu chuẩn, quy chuẩn kỹ thuật</w:t>
            </w:r>
          </w:p>
        </w:tc>
        <w:tc>
          <w:p/>
          <w:p>
            <w:pPr>
              <w:spacing w:after="0" w:before="0" w:lineRule="auto" w:line="276"/>
              <w:jc w:val="left"/>
            </w:pPr>
            <w:r>
              <w:rPr>
                <w:rFonts w:ascii="Times New Roman" w:hAnsi="Times New Roman" w:cs="Times New Roman" w:eastAsia="Times New Roman"/>
                <w:b w:val="false"/>
                <w:sz w:val="26"/>
              </w:rPr>
              <w:t>12-12-2012</w:t>
            </w:r>
          </w:p>
        </w:tc>
        <w:tc>
          <w:p/>
          <w:p>
            <w:pPr>
              <w:spacing w:after="0" w:before="0" w:lineRule="auto" w:line="276"/>
              <w:jc w:val="left"/>
            </w:pPr>
            <w:r>
              <w:rPr>
                <w:rFonts w:ascii="Times New Roman" w:hAnsi="Times New Roman" w:cs="Times New Roman" w:eastAsia="Times New Roman"/>
                <w:b w:val="false"/>
                <w:sz w:val="26"/>
              </w:rPr>
              <w:t>Bộ Khoa học và Công nghệ</w:t>
            </w:r>
          </w:p>
        </w:tc>
      </w:tr>
      <w:tr>
        <w:tc>
          <w:p/>
          <w:p>
            <w:pPr>
              <w:spacing w:after="0" w:before="0" w:lineRule="auto" w:line="276"/>
              <w:jc w:val="left"/>
            </w:pPr>
            <w:r>
              <w:rPr>
                <w:rFonts w:ascii="Times New Roman" w:hAnsi="Times New Roman" w:cs="Times New Roman" w:eastAsia="Times New Roman"/>
                <w:b w:val="false"/>
                <w:sz w:val="26"/>
              </w:rPr>
              <w:t>183/2016/TT-BTC</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lệ phí cấp giấy đăng ký công bố hợp chuẩn, hợp quy</w:t>
            </w:r>
          </w:p>
        </w:tc>
        <w:tc>
          <w:p/>
          <w:p>
            <w:pPr>
              <w:spacing w:after="0" w:before="0" w:lineRule="auto" w:line="276"/>
              <w:jc w:val="left"/>
            </w:pPr>
            <w:r>
              <w:rPr>
                <w:rFonts w:ascii="Times New Roman" w:hAnsi="Times New Roman" w:cs="Times New Roman" w:eastAsia="Times New Roman"/>
                <w:b w:val="false"/>
                <w:sz w:val="26"/>
              </w:rPr>
              <w:t>08-11-2016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02/2017/TT-BKHCN</w:t>
            </w:r>
          </w:p>
        </w:tc>
        <w:tc>
          <w:p/>
          <w:p>
            <w:pPr>
              <w:spacing w:after="0" w:before="0" w:lineRule="auto" w:line="276"/>
              <w:jc w:val="left"/>
            </w:pPr>
            <w:r>
              <w:rPr>
                <w:rFonts w:ascii="Times New Roman" w:hAnsi="Times New Roman" w:cs="Times New Roman" w:eastAsia="Times New Roman"/>
                <w:b w:val="false"/>
                <w:sz w:val="26"/>
              </w:rPr>
              <w:t>sửa đổi, bổ sung một số điều của Thông tư số 28/2012/TT-BKHCN ngày 12 tháng 12 năm 2012 của Bộ trưởng Bộ Khoa học và Công nghệ quy định về công bố hợp chuẩn, công bố hợp quy và phương thức đánh giá sự phù hợp với tiêu chuẩn, quy chuẩn kỹ thuật</w:t>
            </w:r>
          </w:p>
        </w:tc>
        <w:tc>
          <w:p/>
          <w:p>
            <w:pPr>
              <w:spacing w:after="0" w:before="0" w:lineRule="auto" w:line="276"/>
              <w:jc w:val="left"/>
            </w:pPr>
            <w:r>
              <w:rPr>
                <w:rFonts w:ascii="Times New Roman" w:hAnsi="Times New Roman" w:cs="Times New Roman" w:eastAsia="Times New Roman"/>
                <w:b w:val="false"/>
                <w:sz w:val="26"/>
              </w:rPr>
              <w:t>31-03-2017</w:t>
            </w:r>
          </w:p>
        </w:tc>
        <w:tc>
          <w:p/>
          <w:p>
            <w:pPr>
              <w:spacing w:after="0" w:before="0" w:lineRule="auto" w:line="276"/>
              <w:jc w:val="left"/>
            </w:pPr>
            <w:r>
              <w:rPr>
                <w:rFonts w:ascii="Times New Roman" w:hAnsi="Times New Roman" w:cs="Times New Roman" w:eastAsia="Times New Roman"/>
                <w:b w:val="false"/>
                <w:sz w:val="26"/>
              </w:rPr>
              <w:t>Bộ Khoa học và Công nghệ</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2024-03-29T12:00:25Z</dcterms:created>
  <dc:creator>Apache POI</dc:creator>
</cp:coreProperties>
</file>