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2.001211.000.00.00.H56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1389/QĐ-UBND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Xóa đăng ký phương tiện hoạt động vui chơi, giải trí dưới nước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Nộp hồ sơ TTHC:</w:t>
      </w:r>
    </w:p>
    <w:p>
      <w:pPr>
        <w:spacing w:after="0" w:before="0" w:lineRule="auto" w:line="276"/>
        <w:jc w:val="both"/>
      </w:pPr>
      <w:r>
        <w:rPr>
          <w:rFonts w:ascii="Times New Roman" w:hAnsi="Times New Roman" w:cs="Times New Roman" w:eastAsia="Times New Roman"/>
          <w:b w:val="false"/>
          <w:sz w:val="26"/>
        </w:rPr>
        <w:t>Tổ chức, cá nhân nộp đơn đề nghị xóa đăng ký phương tiện hoạt động vui chơi, giải trí dưới nước đến cơ quan đăng ký phương tiện.</w:t>
      </w:r>
    </w:p>
    <w:p>
      <w:pPr>
        <w:shd w:val="clear" w:color="auto" w:fill="F2F6F9"/>
        <w:spacing w:after="0" w:before="120" w:lineRule="auto" w:line="276"/>
        <w:jc w:val="both"/>
      </w:pPr>
      <w:r>
        <w:rPr>
          <w:rFonts w:ascii="Times New Roman" w:hAnsi="Times New Roman" w:cs="Times New Roman" w:eastAsia="Times New Roman"/>
          <w:b w:val="true"/>
          <w:sz w:val="26"/>
        </w:rPr>
        <w:t>Giải quyết TTHC:</w:t>
      </w:r>
    </w:p>
    <w:p>
      <w:pPr>
        <w:spacing w:after="0" w:before="0" w:lineRule="auto" w:line="276"/>
        <w:jc w:val="both"/>
      </w:pPr>
      <w:r>
        <w:rPr>
          <w:rFonts w:ascii="Times New Roman" w:hAnsi="Times New Roman" w:cs="Times New Roman" w:eastAsia="Times New Roman"/>
          <w:b w:val="false"/>
          <w:sz w:val="26"/>
        </w:rPr>
        <w:t>Cơ quan đăng ký phương tiện tiếp nhận, kiểm tra hồ sơ, trường hợp hồ sơ không hợp lệ thì hướng dẫn người nộp hoàn thiện hồ sơ theo quy định.</w:t>
      </w:r>
    </w:p>
    <w:p>
      <w:pPr>
        <w:spacing w:after="0" w:before="0" w:lineRule="auto" w:line="276"/>
        <w:jc w:val="both"/>
      </w:pPr>
      <w:r>
        <w:rPr>
          <w:rFonts w:ascii="Times New Roman" w:hAnsi="Times New Roman" w:cs="Times New Roman" w:eastAsia="Times New Roman"/>
          <w:b w:val="false"/>
          <w:sz w:val="26"/>
        </w:rPr>
        <w:t>Trong thời hạn 02 ngày làm việc, kể từ ngày nhận được hồ sơ hợp lệ, cơ quan đăng ký cấp giấy chứng nhận xóa đăng ký phương tiện cho chủ phương tiện; trường hợp không cấp phải có văn bản trả lời và nêu rõ lý do.</w:t>
      </w:r>
    </w:p>
    <w:p>
      <w:pPr>
        <w:spacing w:after="0" w:before="0" w:lineRule="auto" w:line="276"/>
        <w:jc w:val="both"/>
      </w:pPr>
      <w:r>
        <w:rPr>
          <w:rFonts w:ascii="Times New Roman" w:hAnsi="Times New Roman" w:cs="Times New Roman" w:eastAsia="Times New Roman"/>
          <w:b w:val="false"/>
          <w:sz w:val="26"/>
        </w:rPr>
        <w:t>Cơ quan đăng ký phương tiện thông báo trên các phương tiện thông tin đại chúng và trên cổng thông tin điện tử của cơ quan về các trường hợp xóa đăng ký phương tiện.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Nộp hồ sơ và trả kết quả trực tiếp hoặc qua hệ thống bưu chính hoặc hình thức phù hợp khác.
Trong thời hạn 02 ngày làm việc, kể từ ngày nhận được hồ sơ hợp lệ, cơ quan đăng ký cấp giấy chứng nhận xóa đăng ký phương tiện cho chủ phương tiện.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Nộp hồ sơ và trả kết quả trực tiếp hoặc qua hệ thống bưu chính hoặc hình thức phù hợp khác.
Trong thời hạn 02 ngày làm việc, kể từ ngày nhận được hồ sơ hợp lệ, cơ quan đăng ký cấp giấy chứng nhận xóa đăng ký phương tiện cho chủ phương tiện.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Nộp hồ sơ và trả kết quả trực tiếp hoặc qua hệ thống bưu chính hoặc hình thức phù hợp khác.
Trong thời hạn 02 ngày làm việc, kể từ ngày nhận được hồ sơ hợp lệ, cơ quan đăng ký cấp giấy chứng nhận xóa đăng ký phương tiện cho chủ phương tiện.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xóa đăng ký phương tiện thực hiện theo Mẫu;</w:t>
            </w:r>
          </w:p>
        </w:tc>
        <w:tc>
          <w:p/>
          <w:p>
            <w:pPr>
              <w:spacing w:after="0" w:before="0" w:lineRule="auto" w:line="276"/>
              <w:jc w:val="left"/>
            </w:pPr>
            <w:r>
              <w:rPr>
                <w:rFonts w:ascii="Times New Roman" w:hAnsi="Times New Roman" w:cs="Times New Roman" w:eastAsia="Times New Roman"/>
                <w:b w:val="false"/>
                <w:sz w:val="26"/>
              </w:rPr>
              <w:t>Mẫu.docx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chính Giấy chứng nhận đăng ký phương tiện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 Sở Giao thông vận tải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 Sở Giao thông vận tải Thanh Hóa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Giao thông vận tải tại Trung tâm Phục vụ hành chính công tỉnh Thanh Hóa, Số 28 Đại lộ Lê Lợi, phường Điện Biên, thành phố Thanh Hóa, tỉnh Thanh Hóa (Đối với phương tiện thuộc diện phải đăng kiểm); - Bộ phận tiếp nhận và trả kết quả thuộc Văn phòng HĐND - UBND cấp huyện tỉnh Thanh Hóa (Đối với phương tiện không thuộc diện phải đăng kiểm);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xóa đăng ký phương tiện vui chơi giải trí dưới nước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48/2019/NĐ-CP</w:t>
            </w:r>
          </w:p>
        </w:tc>
        <w:tc>
          <w:p/>
          <w:p>
            <w:pPr>
              <w:spacing w:after="0" w:before="0" w:lineRule="auto" w:line="276"/>
              <w:jc w:val="left"/>
            </w:pPr>
            <w:r>
              <w:rPr>
                <w:rFonts w:ascii="Times New Roman" w:hAnsi="Times New Roman" w:cs="Times New Roman" w:eastAsia="Times New Roman"/>
                <w:b w:val="false"/>
                <w:sz w:val="26"/>
              </w:rPr>
              <w:t>Quy định về quản lý hoạt động của phương tiện phục vụ vui chơi, giải trí dưới nước</w:t>
            </w:r>
          </w:p>
        </w:tc>
        <w:tc>
          <w:p/>
          <w:p>
            <w:pPr>
              <w:spacing w:after="0" w:before="0" w:lineRule="auto" w:line="276"/>
              <w:jc w:val="left"/>
            </w:pPr>
            <w:r>
              <w:rPr>
                <w:rFonts w:ascii="Times New Roman" w:hAnsi="Times New Roman" w:cs="Times New Roman" w:eastAsia="Times New Roman"/>
                <w:b w:val="false"/>
                <w:sz w:val="26"/>
              </w:rPr>
              <w:t>05-06-2019</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2024-03-28T16:16:45Z</dcterms:created>
  <dc:creator>Apache POI</dc:creator>
</cp:coreProperties>
</file>