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2.001481.000.00.00.H18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429/QĐ-UBND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thành lập hội (cấp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Tổ chức phi chính phủ</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Ban vận động thành lập hội có phạm vi hoạt động trong tỉnh gửi hồ sơ xin thành lập hội đến Bộ phận Tiếp nhận và Trả kết quả thuộc Văn phòng Sở Nội vụ tỉnh Điện Biên</w:t>
      </w:r>
    </w:p>
    <w:p>
      <w:pPr>
        <w:spacing w:after="0" w:before="0" w:lineRule="auto" w:line="276"/>
        <w:jc w:val="both"/>
      </w:pPr>
      <w:r>
        <w:rPr>
          <w:rFonts w:ascii="Times New Roman" w:hAnsi="Times New Roman" w:cs="Times New Roman" w:eastAsia="Times New Roman"/>
          <w:b w:val="false"/>
          <w:sz w:val="26"/>
        </w:rPr>
        <w:t xml:space="preserve"> Bước 2: Cán bộ tiếp nhận hồ sơ xem xét hồ sơ và đề nghị bổ sung trong trường hợp hồ sơ chưa đầy đủ và hợp pháp.</w:t>
      </w:r>
    </w:p>
    <w:p>
      <w:pPr>
        <w:spacing w:after="0" w:before="0" w:lineRule="auto" w:line="276"/>
        <w:jc w:val="both"/>
      </w:pPr>
      <w:r>
        <w:rPr>
          <w:rFonts w:ascii="Times New Roman" w:hAnsi="Times New Roman" w:cs="Times New Roman" w:eastAsia="Times New Roman"/>
          <w:b w:val="false"/>
          <w:sz w:val="26"/>
        </w:rPr>
        <w:t>Bước 3: Kể từ ngày nhận hồ sơ đầy đủ và hợp pháp, Sở Nội vụ nghiên cứu, thẩm định hồ sơ xin phép thành lập hội và thực hiện quy trình lấy ý kiến các cơ quan có liên quan, tổng hợp các ý kiến góp ý, đề nghị bổ sung hồ sơ (nếu có).</w:t>
      </w:r>
    </w:p>
    <w:p>
      <w:pPr>
        <w:spacing w:after="0" w:before="0" w:lineRule="auto" w:line="276"/>
        <w:jc w:val="both"/>
      </w:pPr>
      <w:r>
        <w:rPr>
          <w:rFonts w:ascii="Times New Roman" w:hAnsi="Times New Roman" w:cs="Times New Roman" w:eastAsia="Times New Roman"/>
          <w:b w:val="false"/>
          <w:sz w:val="26"/>
        </w:rPr>
        <w:t>Bước 4: Trong thời hạn 30 ngày làm việc kể từ ngày nhận hồ sơ đầy đủ và hợp pháp, Ủy ban nhân dân cấp tỉnh xem xét, quyết định cho phép thành lập hội. Trường hợp không đồng ý phải có văn bản trả lời và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30 ngày làm việc kể từ ngày Ủy ban nhân dân cấp tỉnh (Sở Nội vụ) nhận hồ sơ đầy đủ và hợp pháp. Hồ sơ phải có xác nhận văn bản đến của cơ quan có thẩm quyền, nếu gửi qua đường bưu điện, thời gian được tính từ ngày đến trên phong bì.
</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30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30 ngày làm việc kể từ ngày Ủy ban nhân dân cấp tỉnh (Sở Nội vụ) nhận hồ sơ đầy đủ và hợp pháp. Hồ sơ phải có xác nhận văn bản đến của cơ quan có thẩm quyền, nếu gửi qua đường bưu điện, thời gian được tính từ ngày đến trên phong bì.
</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Phiếu lý lịch tư pháp của người đứng đầu ban vận động thành lập hội;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Danh sách những người trong ban vận động thành lập hội được cơ quan nhà nước có thẩm quyền công nhận;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Văn bản xác nhận nơi dự kiến đặt trụ sở hội;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kê khai tài chính, tài sản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Đơn đề nghị thành lập hội (theo mẫu);</w:t>
            </w:r>
          </w:p>
        </w:tc>
        <w:tc>
          <w:p/>
          <w:p>
            <w:pPr>
              <w:spacing w:after="0" w:before="0" w:lineRule="auto" w:line="276"/>
              <w:jc w:val="left"/>
            </w:pPr>
            <w:r>
              <w:rPr>
                <w:rFonts w:ascii="Times New Roman" w:hAnsi="Times New Roman" w:cs="Times New Roman" w:eastAsia="Times New Roman"/>
                <w:b w:val="false"/>
                <w:sz w:val="26"/>
              </w:rPr>
              <w:t>Mau 4.doc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Dự thảo điều lệ hội (theo mẫu).</w:t>
            </w:r>
          </w:p>
        </w:tc>
        <w:tc>
          <w:p/>
          <w:p>
            <w:pPr>
              <w:spacing w:after="0" w:before="0" w:lineRule="auto" w:line="276"/>
              <w:jc w:val="left"/>
            </w:pPr>
            <w:r>
              <w:rPr>
                <w:rFonts w:ascii="Times New Roman" w:hAnsi="Times New Roman" w:cs="Times New Roman" w:eastAsia="Times New Roman"/>
                <w:b w:val="false"/>
                <w:sz w:val="26"/>
              </w:rPr>
              <w:t>Mẫu 9 - Điều lệ hội.doc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Nội vụ - tỉnh Điện Biên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Sở Nội vụ tỉnh Điện Biên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cho phép thành lập hội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03/2013/TT-BNV</w:t>
            </w:r>
          </w:p>
        </w:tc>
        <w:tc>
          <w:p/>
          <w:p>
            <w:pPr>
              <w:spacing w:after="0" w:before="0" w:lineRule="auto" w:line="276"/>
              <w:jc w:val="left"/>
            </w:pPr>
            <w:r>
              <w:rPr>
                <w:rFonts w:ascii="Times New Roman" w:hAnsi="Times New Roman" w:cs="Times New Roman" w:eastAsia="Times New Roman"/>
                <w:b w:val="false"/>
                <w:sz w:val="26"/>
              </w:rPr>
              <w:t>Thông tư số 03/2013/TT-BNV ngày 16/4/2013 của Bộ trưởng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p>
        </w:tc>
        <w:tc>
          <w:p/>
          <w:p>
            <w:pPr>
              <w:spacing w:after="0" w:before="0" w:lineRule="auto" w:line="276"/>
              <w:jc w:val="left"/>
            </w:pPr>
            <w:r>
              <w:rPr>
                <w:rFonts w:ascii="Times New Roman" w:hAnsi="Times New Roman" w:cs="Times New Roman" w:eastAsia="Times New Roman"/>
                <w:b w:val="false"/>
                <w:sz w:val="26"/>
              </w:rPr>
              <w:t>16-04-2013</w:t>
            </w:r>
          </w:p>
        </w:tc>
        <w:tc>
          <w:p/>
        </w:tc>
      </w:tr>
      <w:tr>
        <w:tc>
          <w:p/>
          <w:p>
            <w:pPr>
              <w:spacing w:after="0" w:before="0" w:lineRule="auto" w:line="276"/>
              <w:jc w:val="left"/>
            </w:pPr>
            <w:r>
              <w:rPr>
                <w:rFonts w:ascii="Times New Roman" w:hAnsi="Times New Roman" w:cs="Times New Roman" w:eastAsia="Times New Roman"/>
                <w:b w:val="false"/>
                <w:sz w:val="26"/>
              </w:rPr>
              <w:t>03/2014/TT-BNV</w:t>
            </w:r>
          </w:p>
        </w:tc>
        <w:tc>
          <w:p/>
          <w:p>
            <w:pPr>
              <w:spacing w:after="0" w:before="0" w:lineRule="auto" w:line="276"/>
              <w:jc w:val="left"/>
            </w:pPr>
            <w:r>
              <w:rPr>
                <w:rFonts w:ascii="Times New Roman" w:hAnsi="Times New Roman" w:cs="Times New Roman" w:eastAsia="Times New Roman"/>
                <w:b w:val="false"/>
                <w:sz w:val="26"/>
              </w:rPr>
              <w:t>Thông tư số 03/2014/TT-BNV ngày 19/6/2014 của Bộ trưởng Bộ Nội vụ Sửa đổi Thông tư số 03/2013/TT-BNV ngày 16 tháng 4 năm 2013 của Bộ trưởng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p>
        </w:tc>
        <w:tc>
          <w:p/>
          <w:p>
            <w:pPr>
              <w:spacing w:after="0" w:before="0" w:lineRule="auto" w:line="276"/>
              <w:jc w:val="left"/>
            </w:pPr>
            <w:r>
              <w:rPr>
                <w:rFonts w:ascii="Times New Roman" w:hAnsi="Times New Roman" w:cs="Times New Roman" w:eastAsia="Times New Roman"/>
                <w:b w:val="false"/>
                <w:sz w:val="26"/>
              </w:rPr>
              <w:t>19-06-2014</w:t>
            </w:r>
          </w:p>
        </w:tc>
        <w:tc>
          <w:p/>
        </w:tc>
      </w:tr>
      <w:tr>
        <w:tc>
          <w:p/>
          <w:p>
            <w:pPr>
              <w:spacing w:after="0" w:before="0" w:lineRule="auto" w:line="276"/>
              <w:jc w:val="left"/>
            </w:pPr>
            <w:r>
              <w:rPr>
                <w:rFonts w:ascii="Times New Roman" w:hAnsi="Times New Roman" w:cs="Times New Roman" w:eastAsia="Times New Roman"/>
                <w:b w:val="false"/>
                <w:sz w:val="26"/>
              </w:rPr>
              <w:t>33/2012/NĐ-CP</w:t>
            </w:r>
          </w:p>
        </w:tc>
        <w:tc>
          <w:p/>
          <w:p>
            <w:pPr>
              <w:spacing w:after="0" w:before="0" w:lineRule="auto" w:line="276"/>
              <w:jc w:val="left"/>
            </w:pPr>
            <w:r>
              <w:rPr>
                <w:rFonts w:ascii="Times New Roman" w:hAnsi="Times New Roman" w:cs="Times New Roman" w:eastAsia="Times New Roman"/>
                <w:b w:val="false"/>
                <w:sz w:val="26"/>
              </w:rPr>
              <w:t>Nghị định số 33/2012/NĐ-CP ngày 13/4/2012 của Chính phủ Sửa đổi, bổ sung một số điều của Nghị định số 45/2010/NĐ-CP ngày 21 tháng 4 năm 2010 của Chính phủ quy định về tổ chức, hoạt động và quản lý hội</w:t>
            </w:r>
          </w:p>
        </w:tc>
        <w:tc>
          <w:p/>
          <w:p>
            <w:pPr>
              <w:spacing w:after="0" w:before="0" w:lineRule="auto" w:line="276"/>
              <w:jc w:val="left"/>
            </w:pPr>
            <w:r>
              <w:rPr>
                <w:rFonts w:ascii="Times New Roman" w:hAnsi="Times New Roman" w:cs="Times New Roman" w:eastAsia="Times New Roman"/>
                <w:b w:val="false"/>
                <w:sz w:val="26"/>
              </w:rPr>
              <w:t>13-04-2012</w:t>
            </w:r>
          </w:p>
        </w:tc>
        <w:tc>
          <w:p/>
        </w:tc>
      </w:tr>
      <w:tr>
        <w:tc>
          <w:p/>
          <w:p>
            <w:pPr>
              <w:spacing w:after="0" w:before="0" w:lineRule="auto" w:line="276"/>
              <w:jc w:val="left"/>
            </w:pPr>
            <w:r>
              <w:rPr>
                <w:rFonts w:ascii="Times New Roman" w:hAnsi="Times New Roman" w:cs="Times New Roman" w:eastAsia="Times New Roman"/>
                <w:b w:val="false"/>
                <w:sz w:val="26"/>
              </w:rPr>
              <w:t>45/2010/NĐ-CP</w:t>
            </w:r>
          </w:p>
        </w:tc>
        <w:tc>
          <w:p/>
          <w:p>
            <w:pPr>
              <w:spacing w:after="0" w:before="0" w:lineRule="auto" w:line="276"/>
              <w:jc w:val="left"/>
            </w:pPr>
            <w:r>
              <w:rPr>
                <w:rFonts w:ascii="Times New Roman" w:hAnsi="Times New Roman" w:cs="Times New Roman" w:eastAsia="Times New Roman"/>
                <w:b w:val="false"/>
                <w:sz w:val="26"/>
              </w:rPr>
              <w:t>Nghị định số 45/2010/NĐ-CP</w:t>
            </w:r>
          </w:p>
        </w:tc>
        <w:tc>
          <w:p/>
          <w:p>
            <w:pPr>
              <w:spacing w:after="0" w:before="0" w:lineRule="auto" w:line="276"/>
              <w:jc w:val="left"/>
            </w:pPr>
            <w:r>
              <w:rPr>
                <w:rFonts w:ascii="Times New Roman" w:hAnsi="Times New Roman" w:cs="Times New Roman" w:eastAsia="Times New Roman"/>
                <w:b w:val="false"/>
                <w:sz w:val="26"/>
              </w:rPr>
              <w:t>21-04-2010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a) Chủ tịch Ủy ban nhân dân cấp tỉnh cho phép thành lập đối với hội có phạm vi hoạt động trong tỉnh.
          b) Điều kiện thành lập hội:
          - Có mục đích hoạt động không trái với pháp luật, không trùng lặp về tên gọi và lĩnh vực hoạt động chính với hội đã được thành lập hợp pháp trước đó trên cùng địa bàn lãnh thổ;
          - Có điều lệ;
          - Có trụ sở;
          - Hội có phạm vi hoạt động trong tỉnh có ít nhất năm mươi công dân, tổ chức trong tỉnh có đủ điều kiện, tự nguyện, có đơn đăng ký tham gia thành lập hội;
          - Hội có phạm vi hoạt động trong huyện có ít nhất hai mươi công dân, tổ chức trong huyện có đủ điều kiện, tự nguyện, có đơn đăng ký tham gia thành lập hội;
          - Hiệp hội của các tổ chức kinh tế có hội viên là đại diện các tổ chức kinh tế có tư cách pháp nhân ở Việt Nam có phạm vi hoạt động trong tỉnh có ít nhất năm đại diện pháp nhân trong tỉnh cùng ngành nghề hoặc cùng lĩnh vực hoạt động có đủ điều kiện, tự nguyện, có đơn đăng ký tham gia thành lập hiệp hội.
          c) Phải có ban vận động thành lập hội được cơ quan quản lý nhà nước về ngành, lĩnh vực chính mà hội dự kiến hoạt động công nhận.
d) Trong thời hạn 90 ngày kể từ ngày quyết định cho phép thành lập hội có hiệu lực, ban vận động thành lập hội phải tổ chức đại hội.
          đ) Nếu quá thời hạn trên ban vận động thành lập hội không tổ chức đại hội, thì trong thời hạn 15 ngày kể từ ngày hết thời hạn tổ chức đại hội, ban vận động thành lập hội có văn bản gửi cơ quan nhà nước đã quyết định cho phép thành lập hội đề nghị gia hạn. Thời gian gia hạn không quá 30 ngày, nếu quá thời gian được gia hạn mà ban vận động thành lập hội không tổ chức đại hội thì quyết định cho phép thành lập hội hết hiệu lực. Nếu có nhu cầu tiếp tục thành lập hội, ban vận động thành lập hội phải xin phép thành lập lại hội, trình tự thủ tục như mới bắt đầu.</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2024-03-29T10:47:27Z</dcterms:created>
  <dc:creator>Apache POI</dc:creator>
</cp:coreProperties>
</file>