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2.001885.000.00.00.H47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2239/QĐ-UBND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giấy chứng nhận đủ điều kiện hoạt động điểm cung cấp dịch vụ trò chơi điện tử công cộng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Phát thanh, truyền hình và thông tin điện tử</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Tổ chức, cá nhân nộp hồ sơ đề nghị cấp giấy chứng nhận đủ điều kiện hoạt động điểm cung cấp dịch vụ trò chơi điện tử công cộng gửi một bộ hồ sơ tới cơ quan cấp giấy chứng nhận (UBND cấp huyện).</w:t>
      </w:r>
    </w:p>
    <w:p>
      <w:pPr>
        <w:spacing w:after="0" w:before="0" w:lineRule="auto" w:line="276"/>
        <w:jc w:val="both"/>
      </w:pPr>
      <w:r>
        <w:rPr>
          <w:rFonts w:ascii="Times New Roman" w:hAnsi="Times New Roman" w:cs="Times New Roman" w:eastAsia="Times New Roman"/>
          <w:b w:val="false"/>
          <w:sz w:val="26"/>
        </w:rPr>
        <w:t>- Cơ quan cấp giấy chứng nhận chủ trì xem xét tính đầy đủ của hồ sơ theo quy định.</w:t>
      </w:r>
    </w:p>
    <w:p>
      <w:pPr>
        <w:spacing w:after="0" w:before="0" w:lineRule="auto" w:line="276"/>
        <w:jc w:val="both"/>
      </w:pPr>
      <w:r>
        <w:rPr>
          <w:rFonts w:ascii="Times New Roman" w:hAnsi="Times New Roman" w:cs="Times New Roman" w:eastAsia="Times New Roman"/>
          <w:b w:val="false"/>
          <w:sz w:val="26"/>
        </w:rPr>
        <w:t>- Trong thời hạn 10 ngày làm việc kể từ ngày nhận được hồ sơ theo quy định, cơ quan cấp giấy chứng nhận thẩm định hồ sơ, kiểm tra thực tế và cấp giấy chứng nhận đủ điều kiện hoạt động điểm cung cấp dịch vụ trò chơi điện tử công cộng.</w:t>
      </w:r>
    </w:p>
    <w:p>
      <w:pPr>
        <w:spacing w:after="0" w:before="0" w:lineRule="auto" w:line="276"/>
        <w:jc w:val="both"/>
      </w:pPr>
      <w:r>
        <w:rPr>
          <w:rFonts w:ascii="Times New Roman" w:hAnsi="Times New Roman" w:cs="Times New Roman" w:eastAsia="Times New Roman"/>
          <w:b w:val="false"/>
          <w:sz w:val="26"/>
        </w:rPr>
        <w:t>- Trường hợp từ chối, cơ quan cấp giấy chứng nhận có trách nhiệm thông báo bằng văn bản trong đó nêu rõ lý do từ chối cho tổ chức, cá nhân biết.</w:t>
      </w:r>
    </w:p>
    <w:p>
      <w:pPr>
        <w:spacing w:after="0" w:before="0" w:lineRule="auto" w:line="276"/>
        <w:jc w:val="both"/>
      </w:pPr>
      <w:r>
        <w:rPr>
          <w:rFonts w:ascii="Times New Roman" w:hAnsi="Times New Roman" w:cs="Times New Roman" w:eastAsia="Times New Roman"/>
          <w:b w:val="false"/>
          <w:sz w:val="26"/>
        </w:rPr>
        <w:t>- Đối với các điểm đã được cấp Giấy chứng nhận đủ điều kiện hoạt động điểm cung cấp dịch vụ trò chơi điện tử công cộng, trước thời hạn hết hạn của giấy chứng nhận tối thiểu 20 ngày, chủ điểm muốn tiếp tục kinh doanh phải thực hiện thủ tục cấp giấy chứng nhận đủ điều kiện hoạt động điểm cung cấp dịch vụ trò chơi điện tử công cộng như ban đầu.</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10 ngày kể từ ngày nhận đủ hồ sơ theo quy định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10 ngày kể từ ngày nhận đủ hồ sơ theo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Áp dụng cho chủ điểm là cá nhân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CẤP GIẤY CHỨNG NHẬN ĐỦ ĐIỀU KIỆN  HOẠT ĐỘNG ĐIỂM CUNG CẤP DỊCH VỤ TRÒ CHƠI ĐIỆN TỬ</w:t>
            </w:r>
          </w:p>
        </w:tc>
        <w:tc>
          <w:p/>
          <w:p>
            <w:pPr>
              <w:spacing w:after="0" w:before="0" w:lineRule="auto" w:line="276"/>
              <w:jc w:val="left"/>
            </w:pPr>
            <w:r>
              <w:rPr>
                <w:rFonts w:ascii="Times New Roman" w:hAnsi="Times New Roman" w:cs="Times New Roman" w:eastAsia="Times New Roman"/>
                <w:b w:val="false"/>
                <w:sz w:val="26"/>
              </w:rPr>
              <w:t>Mẫu số 05. ĐƠN ĐỀ NGHỊ CẤP GIẤY CHỨNG NHẬN ĐỦ ĐIỀU KIỆN HOẠT ĐỘNG ĐIỂM CUNG CẤP DỊCH VỤ TRÒ CHƠI ĐIỆN TỬ.docx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có chứng thực giấy đăng ký kinh doanh điểm cung cấp dịch vụ trò chơi điện tử công cộng;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có chứng thực chứng minh nhân dân/thẻ căn cước công dân/hộ chiếu của chủ điểm cấp dịch vụ trò chơi điện tử công cộng đối với trường hợp chủ điểm là cá nhân;/ - Bản sao có chứng thực chứng minh nhân dân/thẻ căn cước công dân/hộ chiếucủa cá nhân địa diện cho tổ chức, doanh nghiệp trực tiếp quản lý điểm cấp dịch vụ trò chơi điện tử công cộng đối với trường hợp chủ điểm là tổ chức,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Áp dụng cho chủ điểm là tổ chức, doanh nghiệp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CẤP GIẤY CHỨNG NHẬN ĐỦ ĐIỀU KIỆN  HOẠT ĐỘNG ĐIỂM CUNG CẤP DỊCH VỤ TRÒ CHƠI ĐIỆN TỬ</w:t>
            </w:r>
          </w:p>
        </w:tc>
        <w:tc>
          <w:p/>
          <w:p>
            <w:pPr>
              <w:spacing w:after="0" w:before="0" w:lineRule="auto" w:line="276"/>
              <w:jc w:val="left"/>
            </w:pPr>
            <w:r>
              <w:rPr>
                <w:rFonts w:ascii="Times New Roman" w:hAnsi="Times New Roman" w:cs="Times New Roman" w:eastAsia="Times New Roman"/>
                <w:b w:val="false"/>
                <w:sz w:val="26"/>
              </w:rPr>
              <w:t>Mẫu số 06. ĐƠN ĐỀ NGHỊ CẤP GIẤY CHỨNG NHẬN ĐỦ ĐIỀU KIỆN HOẠT ĐỘNG ĐIỂM CUNG CẤP DỊCH VỤ TRÒ CHƠI ĐIỆN TỬ.docx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có chứng thực giấy đăng ký kinh doanh điểm cung cấp dịch vụ trò chơi điện tử công cộng;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có chứng thực chứng minh nhân dân/thẻ căn cước công dân/hộ chiếu của chủ điểm cấp dịch vụ trò chơi điện tử công cộng đối với trường hợp chủ điểm là cá nhân;/ - Bản sao có chứng thực chứng minh nhân dân/thẻ căn cước công dân/hộ chiếucủa cá nhân địa diện cho tổ chức, doanh nghiệp trực tiếp quản lý điểm cấp dịch vụ trò chơi điện tử công cộng đối với trường hợp chủ điểm là tổ chức,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Doanh nghiệp, Doanh nghiệp có vốn đầu tư nước ngoài, Tổ chức (không bao gồm doanh nghiệp, HTX),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Huyện, Sở Xây dựng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UBND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đủ điều kiện hoạt động điểm cung cấp dịch vụ trò chơi điện tử công cộng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27/2018/NĐ-CP</w:t>
            </w:r>
          </w:p>
        </w:tc>
        <w:tc>
          <w:p/>
          <w:p>
            <w:pPr>
              <w:spacing w:after="0" w:before="0" w:lineRule="auto" w:line="276"/>
              <w:jc w:val="left"/>
            </w:pPr>
            <w:r>
              <w:rPr>
                <w:rFonts w:ascii="Times New Roman" w:hAnsi="Times New Roman" w:cs="Times New Roman" w:eastAsia="Times New Roman"/>
                <w:b w:val="false"/>
                <w:sz w:val="26"/>
              </w:rPr>
              <w:t>Nghị định 27/2018/NĐ-CP</w:t>
            </w:r>
          </w:p>
        </w:tc>
        <w:tc>
          <w:p/>
          <w:p>
            <w:pPr>
              <w:spacing w:after="0" w:before="0" w:lineRule="auto" w:line="276"/>
              <w:jc w:val="left"/>
            </w:pPr>
            <w:r>
              <w:rPr>
                <w:rFonts w:ascii="Times New Roman" w:hAnsi="Times New Roman" w:cs="Times New Roman" w:eastAsia="Times New Roman"/>
                <w:b w:val="false"/>
                <w:sz w:val="26"/>
              </w:rPr>
              <w:t>01-03-2018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72/2013/NĐ-CP</w:t>
            </w:r>
          </w:p>
        </w:tc>
        <w:tc>
          <w:p/>
          <w:p>
            <w:pPr>
              <w:spacing w:after="0" w:before="0" w:lineRule="auto" w:line="276"/>
              <w:jc w:val="left"/>
            </w:pPr>
            <w:r>
              <w:rPr>
                <w:rFonts w:ascii="Times New Roman" w:hAnsi="Times New Roman" w:cs="Times New Roman" w:eastAsia="Times New Roman"/>
                <w:b w:val="false"/>
                <w:sz w:val="26"/>
              </w:rPr>
              <w:t>Nghị định 72/2013/NĐ-CP</w:t>
            </w:r>
          </w:p>
        </w:tc>
        <w:tc>
          <w:p/>
          <w:p>
            <w:pPr>
              <w:spacing w:after="0" w:before="0" w:lineRule="auto" w:line="276"/>
              <w:jc w:val="left"/>
            </w:pPr>
            <w:r>
              <w:rPr>
                <w:rFonts w:ascii="Times New Roman" w:hAnsi="Times New Roman" w:cs="Times New Roman" w:eastAsia="Times New Roman"/>
                <w:b w:val="false"/>
                <w:sz w:val="26"/>
              </w:rPr>
              <w:t>15-07-2013</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Tổ chức, cá nhân được cấp Giấy chứng nhận đủ điều kiện hoạt động điểm cung cấp dịch vụ trò chơi điện tử công cộng khi đáp ứng các điều kiện sau đây:
1. Có đăng ký kinh doanh điểm cung cấp dịch vụ trò chơi điện tử công cộng.
2. Địa điểm cung cấp dịch vụ trò chơi điện tử công cộng có chiều dài đường bộ ngắn nhất từ cửa chính hoặc cửa phụ của điểm cung cấp dịch vụ trò chơi điện tử công cộng tới cổng chính hoặc cổng phụ của cổng trường tiểu học, trung học cơ sở, trung học phổ thông, trường phổ thông có nhiều cấp học, trung tâm giáo dục thường xuyên, trường phổ thông dân tộc nội trú, trường phổ thông dân tộc bán trú từ 200 m trở lên;
3. Có biển hiệu “Điểm cung cấp dịch vụ trò chơi điện tử công cộng” ghi rõ tên điểm, địa chỉ, số điện thoại liên hệ, số đăng ký kinh doanh. Trường hợp điểm cung cấp dịch vụ trò chơi điện tử công cộng đồng thời là đại lý Internet thì thêm nội dung “Đại lý Internet”. Trường hợp điểm cung cấp dịch vụ trò chơi điện tử công cộng đồng thời là điểm truy nhập Internet công cộng của doanh nghiệp thì thêm nội dung “Điểm truy nhập Internet công cộng”;
4. Tổng diện tích các phòng máy của điểm cung cấp dịch vụ trò chơi điện tử công cộng tối thiểu 50 m2 tại các khu vực đô thị loại đặc biệt, đô thị loại I, loại II, loại III; tối thiểu 40 m2 tại các đô thị loại IV, loại V; tối thiểu 30 m2 tại các khu vực khác;
5. Bảo đảm đủ ánh sáng, độ chiếu sáng đồng đều trong phòng máy;
6. Có thiết bị và nội quy phòng cháy, chữa cháy theo quy định về phòng, chống cháy, nổ của Bộ Công an;
7. Nộp lệ phí cấp Giấy chứng nhận đủ Điều kiện hoạt động điểm cung cấp dịch vụ trò chơi điện tử công cộng.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2024-03-28T12:23:04Z</dcterms:created>
  <dc:creator>Apache POI</dc:creator>
</cp:coreProperties>
</file>