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2.001987.000.00.00.H36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Đề nghị được kinh doanh dịch vụ tư vấn du học trở lại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Sau thời hạn bị đình chỉ, nếu các nguyên nhân dẫn đến việc đình chỉ kinh doanh dịch vụ tư vấn du học được khắc phục, tổ chức kinh doanh dịch vụ tư vấn gửi hồ sơ trực tiếp hoặc qua bưu điện theo quy định đến Sở Giáo dục và Đào tạo nơi kinh doanh dịch vụ tư vấn du học;</w:t>
      </w:r>
    </w:p>
    <w:p>
      <w:pPr>
        <w:spacing w:after="0" w:before="0" w:lineRule="auto" w:line="276"/>
        <w:jc w:val="both"/>
      </w:pPr>
      <w:r>
        <w:rPr>
          <w:rFonts w:ascii="Times New Roman" w:hAnsi="Times New Roman" w:cs="Times New Roman" w:eastAsia="Times New Roman"/>
          <w:b w:val="false"/>
          <w:sz w:val="26"/>
        </w:rPr>
        <w:t>- Trong thời hạn 15 ngày làm việc kể từ ngày nhận đủ hồ sơ hợp lệ, Sở Giáo dục và Đào tạo thẩm định tờ trình và các tài liệu minh chứng, trong trường hợp cần thiết Sở Giáo dục và Đào tạo tổ chức kiểm tra thực tế. Nếu đã khắc phục được các nguyên nhân dẫn đến việc bị đình chỉ, Giám đốc Sở Giáo dục và Đào tạo cho phép kinh doanh dịch vụ tư vấn du học trở lại, nếu không đủ điều kiện thì có văn bản thông báo và nêu lý do,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được kinh doanh dịch vụ tư vấn du học trở lại. Tờ trình nêu rõ việc khắc phục các nguyên nhân dẫn đến việc bị đình chỉ và kèm theo các tài liệu minh chứng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kinh doanh dịch vụ tư vấn du học trở lại của 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thời hạn bị đình chỉ, nếu các nguyên nhân dẫn đến việc đình chỉ kinh doanh dịch vụ tư vấn du học được khắc phục, tổ chức kinh doanh dịch vụ tư vấn gửi hồ sơ đến Sở Giáo dục và Đào tạo nơi kinh doanh dịch vụ tư vấn du học đề nghị kinh doanh dịch vụ tư vấn du học.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2024-03-28T15:47:06Z</dcterms:created>
  <dc:creator>Apache POI</dc:creator>
</cp:coreProperties>
</file>