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2.002006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885/QĐ-BKHĐT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thay đổi chủ sở hữu công ty trách nhiệm hữu hạn một thành viên do thừa kế</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Công ty gửi Hồ sơ đăng ký thay đổi chủ sở hữu công ty đến Phòng Đăng ký kinh doanh nơi công ty đã đăng ký</w:t>
      </w:r>
    </w:p>
    <w:p>
      <w:pPr>
        <w:spacing w:after="0" w:before="0" w:lineRule="auto" w:line="276"/>
        <w:jc w:val="both"/>
      </w:pPr>
      <w:r>
        <w:rPr>
          <w:rFonts w:ascii="Times New Roman" w:hAnsi="Times New Roman" w:cs="Times New Roman" w:eastAsia="Times New Roman"/>
          <w:b w:val="false"/>
          <w:sz w:val="26"/>
        </w:rPr>
        <w:t>Khi nhận hồ sơ đăng ký thay đổi, Phòng Đăng ký kinh doanh trao Giấy biên nhận, kiểm tra tính hợp lệ của hồ sơ và cấp Giấy chứng nhận đăng ký doanh nghiệp cho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50000 Đồng</w:t>
              <w:t xml:space="preserve"> (- 50.000 đồng/lần, nộp tại thời điểm nộp hồ sơ nếu đăng ký trực tiếp (Thông tư số 47/2019/TT-BTC).)</w:t>
            </w:r>
          </w:p>
        </w:tc>
        <w:tc>
          <w:p/>
          <w:p>
            <w:pPr>
              <w:spacing w:after="0" w:before="0" w:lineRule="auto" w:line="276"/>
              <w:jc w:val="left"/>
            </w:pPr>
            <w:r>
              <w:rPr>
                <w:rFonts w:ascii="Times New Roman" w:hAnsi="Times New Roman" w:cs="Times New Roman" w:eastAsia="Times New Roman"/>
                <w:b w:val="false"/>
                <w:sz w:val="26"/>
              </w:rPr>
              <w:t>Doanh nghiệp nộp hồ sơ đăng ký thay đổi nội dung Giấy chứng nhận đăng ký doanh nghiệp trực tiếp tại Phòng Đăng ký kinh doanh nơi doanh nghiệp đặt trụ sở chính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Đồng</w:t>
              <w:t xml:space="preserve"> (- Miễn lệ phí đối với trường hợp đăng ký qua mạng điện tử (Thông tư số 47/2019/TT-BTC).)</w:t>
            </w:r>
          </w:p>
        </w:tc>
        <w:tc>
          <w:p/>
          <w:p>
            <w:pPr>
              <w:spacing w:after="0" w:before="0" w:lineRule="auto" w:line="276"/>
              <w:jc w:val="left"/>
            </w:pPr>
            <w:r>
              <w:rPr>
                <w:rFonts w:ascii="Times New Roman" w:hAnsi="Times New Roman" w:cs="Times New Roman" w:eastAsia="Times New Roman"/>
                <w:b w:val="false"/>
                <w:sz w:val="26"/>
              </w:rPr>
              <w:t>Người đại diện theo pháp luật nộp hồ sơ đăng ký doanh nghiệp qua mạng điện tử theo quy trình trên Cổng thông tin quốc gia về đăng ký doanh nghiệp (https://dangkykinhdoanh.gov.vn)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thực hiện thủ tục đăng ký doanh nghiệp thì người được ủy quyền phải nộp bản sao hợp lệ một trong các giấy tờ chứng thực cá nhân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kèm theo: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Bản sao hợp lệ hợp đồng cung cấp dịch vụ với tổ chức làm dịch vụ thực hiện thủ tục liên quan đến đăng ký doanh nghiệp và giấy giới thiệu của tổ chức đó cho cá nhân trực tiếp thực hiện thủ tục liên quan đến đăng ký doanh nghiệp; hoặc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	 Văn bản ủy quyền cho cá nhân thực hiện thủ tục liên quan đến đăng ký doanh nghiệp.  	Các văn bản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Thông báo thay đổi chủ sở hữu công ty trách nhiệm hữu hạn một thành viên (Phụ lục II-4, Thông tư số 02/2019/TT-BKHĐT);</w:t>
            </w:r>
          </w:p>
        </w:tc>
        <w:tc>
          <w:p/>
          <w:p>
            <w:pPr>
              <w:spacing w:after="0" w:before="0" w:lineRule="auto" w:line="276"/>
              <w:jc w:val="left"/>
            </w:pPr>
            <w:r>
              <w:rPr>
                <w:rFonts w:ascii="Times New Roman" w:hAnsi="Times New Roman" w:cs="Times New Roman" w:eastAsia="Times New Roman"/>
                <w:b w:val="false"/>
                <w:sz w:val="26"/>
              </w:rPr>
              <w:t>II-4.docx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hợp lệ Điều lệ sửa đổi, bổ sung của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hợp lệ một trong các giấy tờ chứng thực cá nhân quy định tại Điều 10 Nghị định số 78/2015/NĐ-CP của chủ sở hữu mới(cụ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hợp lệ văn bản xác nhận quyền thừa kế hợp pháp của người được thừa kế.</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 https://dangkykinhdoanh.gov.vn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68/2014/QH13</w:t>
            </w:r>
          </w:p>
        </w:tc>
        <w:tc>
          <w:p/>
          <w:p>
            <w:pPr>
              <w:spacing w:after="0" w:before="0" w:lineRule="auto" w:line="276"/>
              <w:jc w:val="left"/>
            </w:pPr>
            <w:r>
              <w:rPr>
                <w:rFonts w:ascii="Times New Roman" w:hAnsi="Times New Roman" w:cs="Times New Roman" w:eastAsia="Times New Roman"/>
                <w:b w:val="false"/>
                <w:sz w:val="26"/>
              </w:rPr>
              <w:t>Luật 68/2014/QH13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78/2015/NĐ-CP</w:t>
            </w:r>
          </w:p>
        </w:tc>
        <w:tc>
          <w:p/>
          <w:p>
            <w:pPr>
              <w:spacing w:after="0" w:before="0" w:lineRule="auto" w:line="276"/>
              <w:jc w:val="left"/>
            </w:pPr>
            <w:r>
              <w:rPr>
                <w:rFonts w:ascii="Times New Roman" w:hAnsi="Times New Roman" w:cs="Times New Roman" w:eastAsia="Times New Roman"/>
                <w:b w:val="false"/>
                <w:sz w:val="26"/>
              </w:rPr>
              <w:t>Nghị định 78/2015/NĐ-CP</w:t>
            </w:r>
          </w:p>
        </w:tc>
        <w:tc>
          <w:p/>
          <w:p>
            <w:pPr>
              <w:spacing w:after="0" w:before="0" w:lineRule="auto" w:line="276"/>
              <w:jc w:val="left"/>
            </w:pPr>
            <w:r>
              <w:rPr>
                <w:rFonts w:ascii="Times New Roman" w:hAnsi="Times New Roman" w:cs="Times New Roman" w:eastAsia="Times New Roman"/>
                <w:b w:val="false"/>
                <w:sz w:val="26"/>
              </w:rPr>
              <w:t>14-09-2015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20/2015/TT-BKHĐT</w:t>
            </w:r>
          </w:p>
        </w:tc>
        <w:tc>
          <w:p/>
          <w:p>
            <w:pPr>
              <w:spacing w:after="0" w:before="0" w:lineRule="auto" w:line="276"/>
              <w:jc w:val="left"/>
            </w:pPr>
            <w:r>
              <w:rPr>
                <w:rFonts w:ascii="Times New Roman" w:hAnsi="Times New Roman" w:cs="Times New Roman" w:eastAsia="Times New Roman"/>
                <w:b w:val="false"/>
                <w:sz w:val="26"/>
              </w:rPr>
              <w:t>Thông tư 20/2015/TT-BKHĐT</w:t>
            </w:r>
          </w:p>
        </w:tc>
        <w:tc>
          <w:p/>
          <w:p>
            <w:pPr>
              <w:spacing w:after="0" w:before="0" w:lineRule="auto" w:line="276"/>
              <w:jc w:val="left"/>
            </w:pPr>
            <w:r>
              <w:rPr>
                <w:rFonts w:ascii="Times New Roman" w:hAnsi="Times New Roman" w:cs="Times New Roman" w:eastAsia="Times New Roman"/>
                <w:b w:val="false"/>
                <w:sz w:val="26"/>
              </w:rPr>
              <w:t>01-12-2015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02/2019/TT-BKHĐT</w:t>
            </w:r>
          </w:p>
        </w:tc>
        <w:tc>
          <w:p/>
          <w:p>
            <w:pPr>
              <w:spacing w:after="0" w:before="0" w:lineRule="auto" w:line="276"/>
              <w:jc w:val="left"/>
            </w:pPr>
            <w:r>
              <w:rPr>
                <w:rFonts w:ascii="Times New Roman" w:hAnsi="Times New Roman" w:cs="Times New Roman" w:eastAsia="Times New Roman"/>
                <w:b w:val="false"/>
                <w:sz w:val="26"/>
              </w:rPr>
              <w:t>Thông tư 02/2019/TT-BKHĐT</w:t>
            </w:r>
          </w:p>
        </w:tc>
        <w:tc>
          <w:p/>
          <w:p>
            <w:pPr>
              <w:spacing w:after="0" w:before="0" w:lineRule="auto" w:line="276"/>
              <w:jc w:val="left"/>
            </w:pPr>
            <w:r>
              <w:rPr>
                <w:rFonts w:ascii="Times New Roman" w:hAnsi="Times New Roman" w:cs="Times New Roman" w:eastAsia="Times New Roman"/>
                <w:b w:val="false"/>
                <w:sz w:val="26"/>
              </w:rPr>
              <w:t>08-01-2019</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Thông tư số 47/2019/TT-BTC</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
2. Nộp đủ lệ phí đăng ký doanh nghiệp theo quy định pháp luật về phí và lệ phí;
3. Doanh nghiệp không được thực hiện việc đăng ký thay đổi nội dung đăng ký doanh nghiệp trong các trường hợp sau:
a) Đã bị Phòng Đăng ký kinh doanh ra Thông báo về việc vi phạm của doanh nghiệp thuộc trường hợp thu hồi Giấy chứng nhận đăng ký doanh nghiệp hoặc đã bị ra Quyết định thu hồi Giấy chứng nhận đăng ký doanh nghiệp;
b) Đang trong quá trình giải thể theo quyết định giải thể của doanh nghiệp;
c) Theo yêu cầu của Tòa án hoặc Cơ quan thi hành án hoặc cơ quan công 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thay đổi, chủ sở hữu, công ty trách nhiệm hữu hạn, một thành viên do thừa kế</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2024-03-28T09:21:11Z</dcterms:created>
  <dc:creator>Apache POI</dc:creator>
</cp:coreProperties>
</file>