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2.002080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QĐ/0001-BTP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thanh toán thù lao cho hòa giải viên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Phổ biến giáo dục pháp luật</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Tổ trưởng tổ hòa giải lập hồ sơ đề nghị thanh toán thù lao cho hòa giải viên.</w:t>
      </w:r>
    </w:p>
    <w:p>
      <w:pPr>
        <w:spacing w:after="0" w:before="0" w:lineRule="auto" w:line="276"/>
        <w:jc w:val="both"/>
      </w:pPr>
      <w:r>
        <w:rPr>
          <w:rFonts w:ascii="Times New Roman" w:hAnsi="Times New Roman" w:cs="Times New Roman" w:eastAsia="Times New Roman"/>
          <w:b w:val="false"/>
          <w:sz w:val="26"/>
        </w:rPr>
        <w:t xml:space="preserve">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thời hạn 05 ngày làm việc, kể từ ngày nhận đủ hồ sơ theo quy định.
Tổ hòa giải thực hiện trả thù lao cho hòa giải viên theo quyết định của Ủy ban nhân dân cấp xã trong thời hạn 03 ngày, kể từ ngày nhận được thù lao.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Xuất trình Sổ theo dõi hoạt động hòa giải ở cơ sở để đối chiếu khi cần thiết.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thanh toán thù lao cho hòa giải viên hoặc văn bản trả lời trong trường hợp quyết định không thanh toán</w:t>
      </w:r>
    </w:p>
    <w:p>
      <w:pPr>
        <w:spacing w:after="0" w:before="0" w:lineRule="auto" w:line="276"/>
        <w:jc w:val="both"/>
      </w:pPr>
      <w:r>
        <w:rPr>
          <w:rFonts w:ascii="Times New Roman" w:hAnsi="Times New Roman" w:cs="Times New Roman" w:eastAsia="Times New Roman"/>
          <w:b w:val="true"/>
          <w:sz w:val="26"/>
        </w:rPr>
        <w:t xml:space="preserve">Căn cứ pháp lý: </w:t>
      </w:r>
      <w:r>
        <w:rPr>
          <w:rFonts w:ascii="Times New Roman" w:hAnsi="Times New Roman" w:cs="Times New Roman" w:eastAsia="Times New Roman"/>
          <w:b w:val="false"/>
          <w:sz w:val="26"/>
        </w:rPr>
        <w:t>Không có thông tin</w:t>
      </w:r>
    </w:p>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được hưởng thù lao theo vụ, việc của hòa giải viên:
- Vụ, việc được tiến hành hòa giải và đã kết thúc trong trường hợp:
+ Các bên đạt được thỏa thuận;
+ Một bên hoặc các bên yêu cầu chấm dứt hòa giải;
+ Hòa giải viên quyết định kết thúc hòa giải khi các bên không thể đạt được thỏa thuận và việc tiếp tục hòa giải cũng không thể đạt được kết quả.
- Hòa giải viên không vi phạm nghĩa vụ sau:
+ Thực hiện hòa giải khi có căn cứ theo quy định tại Điều 16 của Luật hòa giải ở cơ sở.
+ Tuân thủ các nguyên tắc quy định tại Điều 4 của Luật hòa giải ở cơ sở.
+ Từ chối tiến hành hòa giải nếu bản thân có quyền lợi và nghĩa vụ liên quan đến vụ, việc hòa giải hoặc vì lý do khác dẫn đến không thể bảo đảm khách quan, công bằng trong hòa giải.
+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
+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
- Vụ, việc được tiến hành hòa giải và đã kết thúc trong trường hợp:
+ Các bên đạt được thỏa thuận;
+ Một bên hoặc các bên yêu cầu chấm dứt hòa giải;
+ Hòa giải viên quyết định kết thúc hòa giải khi các bên không thể đạt được thỏa thuận và việc tiếp tục hòa giải cũng không thể đạt được kết quả.
- Hòa giải viên không vi phạm nghĩa vụ sau:
+ Thực hiện hòa giải khi có căn cứ theo quy định tại Điều 16 của Luật hòa giải ở cơ sở.
+ Tuân thủ các nguyên tắc quy định tại Điều 4 của Luật hòa giải ở cơ sở.
+ Từ chối tiến hành hòa giải nếu bản thân có quyền lợi và nghĩa vụ liên quan đến vụ, việc hòa giải hoặc vì lý do khác dẫn đến không thể bảo đảm khách quan, công bằng trong hòa giải.
+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
+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2024-03-28T08:40:37Z</dcterms:created>
  <dc:creator>Apache POI</dc:creator>
</cp:coreProperties>
</file>