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2.002228.000.00.00.H56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5291/QĐ-UBND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chấm dứt hoạt động của tổ hợp tác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tổ hợp tác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hồ sơ</w:t>
      </w:r>
    </w:p>
    <w:p>
      <w:pPr>
        <w:spacing w:after="0" w:before="0" w:lineRule="auto" w:line="276"/>
        <w:jc w:val="both"/>
      </w:pPr>
      <w:r>
        <w:rPr>
          <w:rFonts w:ascii="Times New Roman" w:hAnsi="Times New Roman" w:cs="Times New Roman" w:eastAsia="Times New Roman"/>
          <w:b w:val="false"/>
          <w:sz w:val="26"/>
        </w:rPr>
        <w:t>Tổ trưởng tổ hợp tác hoặc người đại diện theo ủy quyền của tổ hợp tác nộp thông báo chấm dứt hoạt động của tổ hợp tác đến Ủy ban nhân dân cấp xã, nơi tổ hợp tác thành lập.</w:t>
      </w:r>
    </w:p>
    <w:p>
      <w:pPr>
        <w:spacing w:after="0" w:before="0" w:lineRule="auto" w:line="276"/>
        <w:jc w:val="both"/>
      </w:pPr>
      <w:r>
        <w:rPr>
          <w:rFonts w:ascii="Times New Roman" w:hAnsi="Times New Roman" w:cs="Times New Roman" w:eastAsia="Times New Roman"/>
          <w:b w:val="false"/>
          <w:sz w:val="26"/>
        </w:rPr>
        <w:t>Bước 2: Tiếp nhận hồ sơ</w:t>
      </w:r>
    </w:p>
    <w:p>
      <w:pPr>
        <w:spacing w:after="0" w:before="0" w:lineRule="auto" w:line="276"/>
        <w:jc w:val="both"/>
      </w:pPr>
      <w:r>
        <w:rPr>
          <w:rFonts w:ascii="Times New Roman" w:hAnsi="Times New Roman" w:cs="Times New Roman" w:eastAsia="Times New Roman"/>
          <w:b w:val="false"/>
          <w:sz w:val="26"/>
        </w:rPr>
        <w:t>Ủy ban nhân dân cấp xã tiếp nhận hồ sơ thông báo chấm dứt hoạt động của tổ hợp tác.</w:t>
      </w:r>
    </w:p>
    <w:p>
      <w:pPr>
        <w:spacing w:after="0" w:before="0" w:lineRule="auto" w:line="276"/>
        <w:jc w:val="both"/>
      </w:pPr>
      <w:r>
        <w:rPr>
          <w:rFonts w:ascii="Times New Roman" w:hAnsi="Times New Roman" w:cs="Times New Roman" w:eastAsia="Times New Roman"/>
          <w:b w:val="false"/>
          <w:sz w:val="26"/>
        </w:rPr>
        <w:t>Bước 3: Xử lý hồ sơ</w:t>
      </w:r>
    </w:p>
    <w:p>
      <w:pPr>
        <w:spacing w:after="0" w:before="0" w:lineRule="auto" w:line="276"/>
        <w:jc w:val="both"/>
      </w:pPr>
      <w:r>
        <w:rPr>
          <w:rFonts w:ascii="Times New Roman" w:hAnsi="Times New Roman" w:cs="Times New Roman" w:eastAsia="Times New Roman"/>
          <w:b w:val="false"/>
          <w:sz w:val="26"/>
        </w:rPr>
        <w:t>Sau khi tiếp nhận hồ sơ thông báo chấm dứt hoạt động của tổ hợp tác, Ủy ban nhân dân cấp xã cập nhật vào Sổ theo dõi về việc thành lập và hoạt động của tổ hợp tác các thông tin có liên quan.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Ngay tại thời điểm tiếp nhận hồ sơ. </w:t>
            </w:r>
          </w:p>
        </w:tc>
        <w:tc>
          <w:p/>
          <w:p>
            <w:pPr>
              <w:spacing w:after="0" w:before="0" w:lineRule="auto" w:line="276"/>
              <w:jc w:val="left"/>
            </w:pPr>
            <w:r>
              <w:rPr>
                <w:rFonts w:ascii="Times New Roman" w:hAnsi="Times New Roman" w:cs="Times New Roman" w:eastAsia="Times New Roman"/>
                <w:b w:val="false"/>
                <w:sz w:val="26"/>
              </w:rPr>
              <w:t>Lệ phí :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Ngay tại thời điểm tiếp nhận hồ sơ. </w:t>
            </w:r>
          </w:p>
        </w:tc>
        <w:tc>
          <w:p/>
          <w:p>
            <w:pPr>
              <w:spacing w:after="0" w:before="0" w:lineRule="auto" w:line="276"/>
              <w:jc w:val="left"/>
            </w:pPr>
            <w:r>
              <w:rPr>
                <w:rFonts w:ascii="Times New Roman" w:hAnsi="Times New Roman" w:cs="Times New Roman" w:eastAsia="Times New Roman"/>
                <w:b w:val="false"/>
                <w:sz w:val="26"/>
              </w:rPr>
              <w:t>Lệ phí :  Đồng</w:t>
              <w:t xml:space="preserve"> (Không có)</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Ngay tại thời điểm tiếp nhận hồ sơ. </w:t>
            </w:r>
          </w:p>
        </w:tc>
        <w:tc>
          <w:p/>
          <w:p>
            <w:pPr>
              <w:spacing w:after="0" w:before="0" w:lineRule="auto" w:line="276"/>
              <w:jc w:val="left"/>
            </w:pPr>
            <w:r>
              <w:rPr>
                <w:rFonts w:ascii="Times New Roman" w:hAnsi="Times New Roman" w:cs="Times New Roman" w:eastAsia="Times New Roman"/>
                <w:b w:val="false"/>
                <w:sz w:val="26"/>
              </w:rPr>
              <w:t>Lệ phí :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Trường hợp người đại diện theo ủy quyền của tổ hợp tác nộp thông báo thì cần có: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về việc chấm dứt hoạt động của tổ hợp tác;</w:t>
            </w:r>
          </w:p>
        </w:tc>
        <w:tc>
          <w:p/>
          <w:p>
            <w:pPr>
              <w:spacing w:after="0" w:before="0" w:lineRule="auto" w:line="276"/>
              <w:jc w:val="left"/>
            </w:pPr>
            <w:r>
              <w:rPr>
                <w:rFonts w:ascii="Times New Roman" w:hAnsi="Times New Roman" w:cs="Times New Roman" w:eastAsia="Times New Roman"/>
                <w:b w:val="false"/>
                <w:sz w:val="26"/>
              </w:rPr>
              <w:t>Mau I.03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Văn bản ủy quyền của một trăm phần trăm (100 %) tổng số thành viên tổ hợp tác;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Biên bản cuộc họp thành viên tổ hợp tác về việc chấm dứt hoạt động của tổ hợp tác.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 Trường hợp tổ trưởng tổ hợp tác nộp thông báo thì cần có: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Giấy thông báo về việc chấm dứt hoạt động của tổ hợp tác;</w:t>
            </w:r>
          </w:p>
        </w:tc>
        <w:tc>
          <w:p/>
          <w:p>
            <w:pPr>
              <w:spacing w:after="0" w:before="0" w:lineRule="auto" w:line="276"/>
              <w:jc w:val="left"/>
            </w:pPr>
            <w:r>
              <w:rPr>
                <w:rFonts w:ascii="Times New Roman" w:hAnsi="Times New Roman" w:cs="Times New Roman" w:eastAsia="Times New Roman"/>
                <w:b w:val="false"/>
                <w:sz w:val="26"/>
              </w:rPr>
              <w:t>Mau I.03 NĐ 77.docx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Biên bản cuộc họp tổ hợp tác về việc bầu tổ trưởng;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(3) Biên bản cuộc họp thành viên tổ hợp tác về việc chấm dứt hoạt động của tổ hợp tác.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UBND cấp xã, tỉnh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Ủy ban nhân dân cấp xã cập nhật các thay đổi và biến động của tổ hợp tác vào sổ theo dõi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91/2015/QH13 </w:t>
            </w:r>
          </w:p>
        </w:tc>
        <w:tc>
          <w:p/>
          <w:p>
            <w:pPr>
              <w:spacing w:after="0" w:before="0" w:lineRule="auto" w:line="276"/>
              <w:jc w:val="left"/>
            </w:pPr>
            <w:r>
              <w:rPr>
                <w:rFonts w:ascii="Times New Roman" w:hAnsi="Times New Roman" w:cs="Times New Roman" w:eastAsia="Times New Roman"/>
                <w:b w:val="false"/>
                <w:sz w:val="26"/>
              </w:rPr>
              <w:t>Bộ Luật dân sự</w:t>
            </w:r>
          </w:p>
        </w:tc>
        <w:tc>
          <w:p/>
          <w:p>
            <w:pPr>
              <w:spacing w:after="0" w:before="0" w:lineRule="auto" w:line="276"/>
              <w:jc w:val="left"/>
            </w:pPr>
            <w:r>
              <w:rPr>
                <w:rFonts w:ascii="Times New Roman" w:hAnsi="Times New Roman" w:cs="Times New Roman" w:eastAsia="Times New Roman"/>
                <w:b w:val="false"/>
                <w:sz w:val="26"/>
              </w:rPr>
              <w:t>24-11-2015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77/2019/NĐ-CP</w:t>
            </w:r>
          </w:p>
        </w:tc>
        <w:tc>
          <w:p/>
          <w:p>
            <w:pPr>
              <w:spacing w:after="0" w:before="0" w:lineRule="auto" w:line="276"/>
              <w:jc w:val="left"/>
            </w:pPr>
            <w:r>
              <w:rPr>
                <w:rFonts w:ascii="Times New Roman" w:hAnsi="Times New Roman" w:cs="Times New Roman" w:eastAsia="Times New Roman"/>
                <w:b w:val="false"/>
                <w:sz w:val="26"/>
              </w:rPr>
              <w:t>Về tổ hợp tác</w:t>
            </w:r>
          </w:p>
        </w:tc>
        <w:tc>
          <w:p/>
          <w:p>
            <w:pPr>
              <w:spacing w:after="0" w:before="0" w:lineRule="auto" w:line="276"/>
              <w:jc w:val="left"/>
            </w:pPr>
            <w:r>
              <w:rPr>
                <w:rFonts w:ascii="Times New Roman" w:hAnsi="Times New Roman" w:cs="Times New Roman" w:eastAsia="Times New Roman"/>
                <w:b w:val="false"/>
                <w:sz w:val="26"/>
              </w:rPr>
              <w:t>10-10-2019</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Hồ sơ thông báo có đầy đủ giấy tờ và nội dung các giấy tờ đó được kê khai đầy đủ theo quy định của pháp luật;
-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Chấm dứt tổ hợp tác</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2024-03-29T06:29:54Z</dcterms:created>
  <dc:creator>Apache POI</dc:creator>
</cp:coreProperties>
</file>