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2.002248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1573/QĐ-BKHCN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Giấy chứng nhận đăng ký chuyển giao công nghệ (trừ trường hợp thuộc thẩm quyền của Bộ Khoa học và Công nghệ)</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khoa học và công nghệ</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chuyển giao công nghệ đến Sở Khoa học và Công nghệ đối với:</w:t>
      </w:r>
    </w:p>
    <w:p>
      <w:pPr>
        <w:spacing w:after="0" w:before="0" w:lineRule="auto" w:line="276"/>
        <w:jc w:val="both"/>
      </w:pPr>
      <w:r>
        <w:rPr>
          <w:rFonts w:ascii="Times New Roman" w:hAnsi="Times New Roman" w:cs="Times New Roman" w:eastAsia="Times New Roman"/>
          <w:b w:val="false"/>
          <w:sz w:val="26"/>
        </w:rPr>
        <w:t>+ Chuyển giao công nghệ của dự án đầu tư trên địa bàn quản lý thuộc thẩm quyền quyết định chủ trương đầu tư của Hội đồng nhân dân các cấp, Ủy ban nhân dân các cấp, Ban Quản lý khu công nghiệp, khu chế xuất, khu công nghệ cao, khu kinh tế theo quy định của pháp luật về đầu tư, pháp luật về đầu tư công; thuộc diện cấp giấy chứng nhận đăng ký đầu tư không thuộc trường hợp phải có quyết định chủ trương đầu tư của cơ quan quản lý nhà nước có thẩm quyền;</w:t>
      </w:r>
    </w:p>
    <w:p>
      <w:pPr>
        <w:spacing w:after="0" w:before="0" w:lineRule="auto" w:line="276"/>
        <w:jc w:val="both"/>
      </w:pPr>
      <w:r>
        <w:rPr>
          <w:rFonts w:ascii="Times New Roman" w:hAnsi="Times New Roman" w:cs="Times New Roman" w:eastAsia="Times New Roman"/>
          <w:b w:val="false"/>
          <w:sz w:val="26"/>
        </w:rPr>
        <w:t>+ Trường hợp tự nguyện đăng ký chuyển giao công nghệ (nơi bên đăng ký chuyển giao công nghệ đặt trụ sở chính trên địa bàn quản lý của Sở Khoa học và Công nghệ).</w:t>
      </w:r>
    </w:p>
    <w:p>
      <w:pPr>
        <w:spacing w:after="0" w:before="0" w:lineRule="auto" w:line="276"/>
        <w:jc w:val="both"/>
      </w:pPr>
      <w:r>
        <w:rPr>
          <w:rFonts w:ascii="Times New Roman" w:hAnsi="Times New Roman" w:cs="Times New Roman" w:eastAsia="Times New Roman"/>
          <w:b w:val="false"/>
          <w:sz w:val="26"/>
        </w:rPr>
        <w:t>- Sở Khoa học và Công nghệ xem xét hồ sơ:
+ Trường hợp hồ sơ chưa đầy đủ theo quy định, trong thời hạn 03 ngày làm việc kể từ ngày nhận được hồ sơ, Sở Khoa học và Công nghệ có văn bản đề nghị tổ chức, cá nhân bổ sung hồ sơ theo quy định; 
</w:t>
      </w:r>
    </w:p>
    <w:p>
      <w:pPr>
        <w:spacing w:after="0" w:before="0" w:lineRule="auto" w:line="276"/>
        <w:jc w:val="both"/>
      </w:pPr>
      <w:r>
        <w:rPr>
          <w:rFonts w:ascii="Times New Roman" w:hAnsi="Times New Roman" w:cs="Times New Roman" w:eastAsia="Times New Roman"/>
          <w:b w:val="false"/>
          <w:sz w:val="26"/>
        </w:rPr>
        <w:t>+ Trường hợp hồ sơ đáp ứng yêu cầu theo quy định, trong thời hạn 05 ngày làm việc kể từ ngày nhận đủ hồ sơ, Sở Khoa học và Công nghệ cấp Giấy chứng nhận đăng ký chuyển giao công nghệ.</w:t>
      </w:r>
    </w:p>
    <w:p>
      <w:pPr>
        <w:spacing w:after="0" w:before="0" w:lineRule="auto" w:line="276"/>
        <w:jc w:val="both"/>
      </w:pPr>
      <w:r>
        <w:rPr>
          <w:rFonts w:ascii="Times New Roman" w:hAnsi="Times New Roman" w:cs="Times New Roman" w:eastAsia="Times New Roman"/>
          <w:b w:val="false"/>
          <w:sz w:val="26"/>
        </w:rPr>
        <w:t>+ Trường hợp hồ sơ có nội dung cần phải sửa đổi, bổ sung, trong thời hạn 05 ngày làm việc kể từ ngày nhận được hồ sơ theo quy định, Sở Khoa học và Công nghệ có văn bản đề nghị bên đăng ký chuyển giao công nghệ sửa đổi, bổ sung;</w:t>
      </w:r>
    </w:p>
    <w:p>
      <w:pPr>
        <w:spacing w:after="0" w:before="0" w:lineRule="auto" w:line="276"/>
        <w:jc w:val="both"/>
      </w:pPr>
      <w:r>
        <w:rPr>
          <w:rFonts w:ascii="Times New Roman" w:hAnsi="Times New Roman" w:cs="Times New Roman" w:eastAsia="Times New Roman"/>
          <w:b w:val="false"/>
          <w:sz w:val="26"/>
        </w:rPr>
        <w:t>+ Trường hợp từ chối cấp Giấy chứng nhận đăng ký chuyển giao công nghệ, Sở Khoa học và Công nghệ có văn bản trả lời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5.000.000-10.000.000 Đồng</w:t>
              <w:t xml:space="preserve"> (Đối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và tối thiểu không dưới 05 (năm) triệu đồng.)</w:t>
            </w:r>
          </w:p>
        </w:tc>
        <w:tc>
          <w:p/>
          <w:p>
            <w:pPr>
              <w:spacing w:after="0" w:before="0" w:lineRule="auto" w:line="276"/>
              <w:jc w:val="left"/>
            </w:pPr>
            <w:r>
              <w:rPr>
                <w:rFonts w:ascii="Times New Roman" w:hAnsi="Times New Roman" w:cs="Times New Roman" w:eastAsia="Times New Roman"/>
                <w:b w:val="false"/>
                <w:sz w:val="26"/>
              </w:rPr>
              <w:t>Nộp hồ sơ trực tiếp tại trụ sở Sở Khoa học và Công nghệ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tại cổng dịch vụ công trực tuyến của Sở Khoa học và Công nghệ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t>Phí : 5.000.000-10.000.000 Đồng</w:t>
              <w:t xml:space="preserve"> (Đối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và tối thiểu không dưới 05 (năm) triệu đồng.)</w:t>
            </w:r>
          </w:p>
        </w:tc>
        <w:tc>
          <w:p/>
          <w:p>
            <w:pPr>
              <w:spacing w:after="0" w:before="0" w:lineRule="auto" w:line="276"/>
              <w:jc w:val="left"/>
            </w:pPr>
            <w:r>
              <w:rPr>
                <w:rFonts w:ascii="Times New Roman" w:hAnsi="Times New Roman" w:cs="Times New Roman" w:eastAsia="Times New Roman"/>
                <w:b w:val="false"/>
                <w:sz w:val="26"/>
              </w:rPr>
              <w:t>Nộp hồ sơ trực tiếp tại trụ sở Sở Khoa học và Công nghệ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đăng ký chuyển giao công nghệ;</w:t>
            </w:r>
          </w:p>
        </w:tc>
        <w:tc>
          <w:p/>
          <w:p>
            <w:pPr>
              <w:spacing w:after="0" w:before="0" w:lineRule="auto" w:line="276"/>
              <w:jc w:val="left"/>
            </w:pPr>
            <w:r>
              <w:rPr>
                <w:rFonts w:ascii="Times New Roman" w:hAnsi="Times New Roman" w:cs="Times New Roman" w:eastAsia="Times New Roman"/>
                <w:b w:val="false"/>
                <w:sz w:val="26"/>
              </w:rPr>
              <w:t>Mẫu Văn bản đề nghị đăng ký chuyển giao công nghệ.docx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hoặc bản sao có chứng thực văn bản giao kết chuyển giao công nghệ bằng tiếng Việt hoặc bản dịch sang tiếng Việt có công chứng hoặc chứng thực đối với văn bản giao kết chuyển giao công nghệ bằng tiếng nước ngoài;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đăng ký đầu tư (hoặc Giấy Chứng nhận đăng ký doanh nghiệp hoặc Giấp phép kinh doanh,...) của các bên tham gia chuyển giao công nghệ;</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xác nhận tư cách pháp lý của người đại diện các bên tham gia hợp đồng;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chứng thực Văn bản chấp thuận của cơ quan có thẩm quyền quyết định đầu tư đối với chuyển giao công nghệ có sử dụng vốn nhà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ủy quyền (trong trường hợp ủy quyền cho bên thứ ba thực hiện thủ tục đăng ký hợp đồng chuyển giao công nghệ)</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Khoa học và Công nghệ</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chuyển giao công nghệ</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169/2016/TT-BTC</w:t>
            </w:r>
          </w:p>
        </w:tc>
        <w:tc>
          <w:p/>
          <w:p>
            <w:pPr>
              <w:spacing w:after="0" w:before="0" w:lineRule="auto" w:line="276"/>
              <w:jc w:val="left"/>
            </w:pPr>
            <w:r>
              <w:rPr>
                <w:rFonts w:ascii="Times New Roman" w:hAnsi="Times New Roman" w:cs="Times New Roman" w:eastAsia="Times New Roman"/>
                <w:b w:val="false"/>
                <w:sz w:val="26"/>
              </w:rPr>
              <w:t>Thông tư 169/2016/TT-BTC - Quy định mức thu, chế độ thu, nộp, quản lý và sử dụng phí thẩm định hợp đồng chuyển giao công nghệ</w:t>
            </w:r>
          </w:p>
        </w:tc>
        <w:tc>
          <w:p/>
          <w:p>
            <w:pPr>
              <w:spacing w:after="0" w:before="0" w:lineRule="auto" w:line="276"/>
              <w:jc w:val="left"/>
            </w:pPr>
            <w:r>
              <w:rPr>
                <w:rFonts w:ascii="Times New Roman" w:hAnsi="Times New Roman" w:cs="Times New Roman" w:eastAsia="Times New Roman"/>
                <w:b w:val="false"/>
                <w:sz w:val="26"/>
              </w:rPr>
              <w:t>26-10-2016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07/2017/QH14</w:t>
            </w:r>
          </w:p>
        </w:tc>
        <w:tc>
          <w:p/>
          <w:p>
            <w:pPr>
              <w:spacing w:after="0" w:before="0" w:lineRule="auto" w:line="276"/>
              <w:jc w:val="left"/>
            </w:pPr>
            <w:r>
              <w:rPr>
                <w:rFonts w:ascii="Times New Roman" w:hAnsi="Times New Roman" w:cs="Times New Roman" w:eastAsia="Times New Roman"/>
                <w:b w:val="false"/>
                <w:sz w:val="26"/>
              </w:rPr>
              <w:t>Luật 07/2017/QH14-Luật chuyển giao công nghệ</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76/2018/NĐ-CP</w:t>
            </w:r>
          </w:p>
        </w:tc>
        <w:tc>
          <w:p/>
          <w:p>
            <w:pPr>
              <w:spacing w:after="0" w:before="0" w:lineRule="auto" w:line="276"/>
              <w:jc w:val="left"/>
            </w:pPr>
            <w:r>
              <w:rPr>
                <w:rFonts w:ascii="Times New Roman" w:hAnsi="Times New Roman" w:cs="Times New Roman" w:eastAsia="Times New Roman"/>
                <w:b w:val="false"/>
                <w:sz w:val="26"/>
              </w:rPr>
              <w:t>Nghị định 76/2018/NĐ-CP-Quy định chi tiết và hướng dẫn thi hành một số điều của Luật Chuyển giao công nghệ</w:t>
            </w:r>
          </w:p>
        </w:tc>
        <w:tc>
          <w:p/>
          <w:p>
            <w:pPr>
              <w:spacing w:after="0" w:before="0" w:lineRule="auto" w:line="276"/>
              <w:jc w:val="left"/>
            </w:pPr>
            <w:r>
              <w:rPr>
                <w:rFonts w:ascii="Times New Roman" w:hAnsi="Times New Roman" w:cs="Times New Roman" w:eastAsia="Times New Roman"/>
                <w:b w:val="false"/>
                <w:sz w:val="26"/>
              </w:rPr>
              <w:t>15-05-2018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Trong trường hợp phải đăng ký chuyển giao công nghệ theo quy định, trong thời hạn 90 ngày kể từ ngày ký văn bản giao kết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chuyển giao công nghệ. 
- Văn bản đề nghị đăng ký chuyển giao công nghệ cần ghi rõ cam kết trách nhiệm của các bên bảo đảm nội dung hợp đồng chuyển giao công nghệ tuân thủ các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cấp Giấy chứng nhận đăng ký chuyển giao công nghệ (trừ trường hợp thuộc thẩm quyền của Bộ Khoa học và Công nghệ)</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2024-03-19T05:35:19Z</dcterms:created>
  <dc:creator>Apache POI</dc:creator>
</cp:coreProperties>
</file>