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2.002284.000.00.00.H47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178 /QĐ-UBND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chính sách nội trú cho học sinh, sinh viên tham gia chương trình đào tạo trình độ cao đẳng, trung cấp tại các cơ sở giáo dục nghề nghiệp công lập trực thuộc huyện, quận, thị xã, thành phố trực thuộc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nghề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
- Bước 2: Học sinh, sinh viên thuộc đối tượng quy định tại Quyết định số 53/2015/QĐ-TTg nộp hồ sơ tới cơ sở giáo dục nghề nghiệp nơi học sinh, sinh viên đang theo học.
- Bước 3: Thẩm định hồ sơ cấp chính sách nội trú
Thủ trưởng cơ sở giáo dục nghề nghiệp tổ chức đối chiếu, thẩm định và chịu trách nhiệm về tính xác thực của hồ sơ; tổng hợp, lập danh sách đối tượng được hưởng chính sách. Trường hợp hồ sơ không hợp lệ, cơ sở giáo dục nghề nghiệp có trách nhiệm thông báo cho người học được biết trong thời hạn 03 ngày làm việc kể từ ngày nhận được hồ sơ.
- Bước 4: Chi trả học bổng chính sách và các khoản hỗ trợ
Cơ sở giáo dục nghề nghiệp nơi học sinh, sinh viên đang theo học chịu trách nhiệm quản lý, tổ chức thực hiện chi trả học bổng chính sách và các khoản hỗ trợ khác trực tiếp bằng tiền mặt cho học sinh, sinh viên đang học tại cơ sở giáo dục nghề nghiệp đó.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t>Phí : không Đồng</w:t>
            </w:r>
          </w:p>
        </w:tc>
        <w:tc>
          <w:p/>
          <w:p>
            <w:pPr>
              <w:spacing w:after="0" w:before="0" w:lineRule="auto" w:line="276"/>
              <w:jc w:val="left"/>
            </w:pPr>
            <w:r>
              <w:rPr>
                <w:rFonts w:ascii="Times New Roman" w:hAnsi="Times New Roman" w:cs="Times New Roman" w:eastAsia="Times New Roman"/>
                <w:b w:val="false"/>
                <w:sz w:val="26"/>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chính sách nội trú theo mẫu tại Mẫu số 1 ban hành kèm theo Thông tư số 08/2023/TT-BLĐTBXH. - Đối với học sinh, sinh viên người dân tộc thiểu số thuộc hộ nghèo, hộ cận nghèo, ngoài đơn đề nghị cấp chính sách nội trú phải bổ sung giấy chứng nhận hộ nghèo, hộ cận nghèo do Ủy ban nhân dân cấp xã cấp (Bản sao được chứng thực từ bản chính hoặc bản sao có mang bản chính để đối chiếu). - Đối với học sinh, sinh viên người dân tộc thiểu số là người khuyết tật,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 -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phải bổ sung Giấy chứng nhận hộ nghèo, hộ cận nghèo do Ủy ban nhân dân cấp xã cấp (Bản sao được chứng thực từ bản chính hoặc bản sao có mang bản chính để đối chiếu). -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phải bổ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(Bản sao được chứng thực từ bản chính hoặc bản sao có mang bản chính để đối chiếu). - Đối với học sinh, sinh viên tốt nghiệp trường phổ thông dân tộc nội trú, ngoài đơn đề nghị cấp chính sách nội trú phải bổ sung bằng tốt nghiệp hoặc giấy chứng nhận tốt nghiệp tạm thời (Bản sao được chứng thực từ bản chính hoặc bản sao có mang bản chính để đối chiếu). - Đối với học sinh, sinh viên ở lại trường trong dịp Tết Nguyên đán, ngoài một số giấy tờ trên phải bổ sung Đơn đề nghị xác nhận và cấp hỗ trợ theo mẫu tại Mẫu số 3 ban hành kèm theo Thông tư số 08/2023/TT-BLĐTBXH.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nghề nghiệp,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Cơ sở giáo dục nghề nghiệp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Học bổng chính sách và các khoản hỗ trợ khác được cấp..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18/2018/TT-BLĐTBXH</w:t>
            </w:r>
          </w:p>
        </w:tc>
        <w:tc>
          <w:p/>
          <w:p>
            <w:pPr>
              <w:spacing w:after="0" w:before="0" w:lineRule="auto" w:line="276"/>
              <w:jc w:val="left"/>
            </w:pPr>
            <w:r>
              <w:rPr>
                <w:rFonts w:ascii="Times New Roman" w:hAnsi="Times New Roman" w:cs="Times New Roman" w:eastAsia="Times New Roman"/>
                <w:b w:val="false"/>
                <w:sz w:val="26"/>
              </w:rPr>
              <w:t>Thông tư 18/2018/TT-BLĐTBXH - Thông tư sửa đổi, bổ sung một số điều của các Thông tư liên quan đến thủ tục hành chính thuộc phạm vi chức năng quản lý nhà nước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30-10-2018</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53/2015/QĐ-TTg</w:t>
            </w:r>
          </w:p>
        </w:tc>
        <w:tc>
          <w:p/>
          <w:p>
            <w:pPr>
              <w:spacing w:after="0" w:before="0" w:lineRule="auto" w:line="276"/>
              <w:jc w:val="left"/>
            </w:pPr>
            <w:r>
              <w:rPr>
                <w:rFonts w:ascii="Times New Roman" w:hAnsi="Times New Roman" w:cs="Times New Roman" w:eastAsia="Times New Roman"/>
                <w:b w:val="false"/>
                <w:sz w:val="26"/>
              </w:rPr>
              <w:t>Quyết định 53/2015/QĐ-TTg - Về chính sách nội trú đối với học sinh, sinh viên học cao đẳng, trung cấp</w:t>
            </w:r>
          </w:p>
        </w:tc>
        <w:tc>
          <w:p/>
          <w:p>
            <w:pPr>
              <w:spacing w:after="0" w:before="0" w:lineRule="auto" w:line="276"/>
              <w:jc w:val="left"/>
            </w:pPr>
            <w:r>
              <w:rPr>
                <w:rFonts w:ascii="Times New Roman" w:hAnsi="Times New Roman" w:cs="Times New Roman" w:eastAsia="Times New Roman"/>
                <w:b w:val="false"/>
                <w:sz w:val="26"/>
              </w:rPr>
              <w:t>20-10-2015</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12/2016/TTLT-BLĐTBXH-BGDĐT-BTC</w:t>
            </w:r>
          </w:p>
        </w:tc>
        <w:tc>
          <w:p/>
          <w:p>
            <w:pPr>
              <w:spacing w:after="0" w:before="0" w:lineRule="auto" w:line="276"/>
              <w:jc w:val="left"/>
            </w:pPr>
            <w:r>
              <w:rPr>
                <w:rFonts w:ascii="Times New Roman" w:hAnsi="Times New Roman" w:cs="Times New Roman" w:eastAsia="Times New Roman"/>
                <w:b w:val="false"/>
                <w:sz w:val="26"/>
              </w:rPr>
              <w:t>Thông tư liên tịch số 12/2016/TTLT-BLĐTBXH-BGDĐT-BTC ngày 16/6/2016 của Bộ Lao động - Thương binh và Xã hội, Bộ Giáo dục và Đào tạo, Bộ Tài chính hướng dẫn thực hiện chính sách nội trú quy định tại Quyết định số 53/2015/QĐ-TTg ngày 20/10/2015 của Thủ tướng Chính phủ về chính sách nội trú đối với học sinh, sinh viên học cao đẳng, trung cấp.</w:t>
            </w:r>
          </w:p>
        </w:tc>
        <w:tc>
          <w:p/>
          <w:p>
            <w:pPr>
              <w:spacing w:after="0" w:before="0" w:lineRule="auto" w:line="276"/>
              <w:jc w:val="left"/>
            </w:pPr>
            <w:r>
              <w:rPr>
                <w:rFonts w:ascii="Times New Roman" w:hAnsi="Times New Roman" w:cs="Times New Roman" w:eastAsia="Times New Roman"/>
                <w:b w:val="false"/>
                <w:sz w:val="26"/>
              </w:rPr>
              <w:t>16-06-2016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Học sinh, sinh viên tham gia chương trình đào tạo trình độ cao đẳng, trình độ trung cấp hệ chính quy tại các cơ sở giáo dục nghề nghiệp công lập thuộc một trong những đối tượng sau:
- Học sinh, sinh viên người dân tộc thiểu số thuộc hộ nghèo, hộ cận nghèo, người khuyết tật.
- Học sinh, sinh viên tốt nghiệp trường phổ thông dân tộc nội trú.
-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2024-03-28T08:42:10Z</dcterms:created>
  <dc:creator>Apache POI</dc:creator>
</cp:coreProperties>
</file>