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2.002307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547/QĐ-LĐTBXH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mai táng phí đối với cựu chiến binh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Đại diện thân nhân hoặc người tổ chức mai táng có trách nhiệm lập hồ sơ theo quy định, gửi Ủy ban nhân dân, cấp xã;
Bước 2: Ủy ban nhân dân cấp xã trong thời gian 05 ngày kể từ ngày nhận đủ hồ sơ có trách nhiệm xác nhận bản khai, gửi Phòng Lao động - Thương binh và Xã hội kèm các giấy tờ theo quy định;
Bước 3: Phòng Lao động - Thương binh và Xã hội trong thời gian 10 ngày kể từ ngày nhận đủ các giấy tờ, có trách nhiệm kiểm tra, lập phiếu báo giảm và tổng hợp danh sách gửi Sở Lao động - Thương binh và Xã hội;
Bước 4: Sở Lao động - Thương binh và Xã hội trong thời gian 10 ngày kể từ ngày nhận đủ các giấy tờ theo quy định có trách nhiệm đối chiếu, ghép hồ sơ người có công đang quản lý với hồ sơ đề nghị hưởng mai táng phí, trợ cấp một lần và ra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25 Ngày</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khai của đại diện thân nhân (kèm biên bản ủy quyền) hoặc người tổ chức mai táng (Mẫu TT1 Thông tư số 05/2013/TT-BLĐTBXH); - Giấy chứng tử; - Hồ sơ của người có công với cách mạng.</w:t>
            </w:r>
          </w:p>
        </w:tc>
        <w:tc>
          <w:p/>
          <w:p>
            <w:pPr>
              <w:spacing w:after="0" w:before="0" w:lineRule="auto" w:line="276"/>
              <w:jc w:val="left"/>
            </w:pPr>
            <w:r>
              <w:rPr>
                <w:rFonts w:ascii="Times New Roman" w:hAnsi="Times New Roman" w:cs="Times New Roman" w:eastAsia="Times New Roman"/>
                <w:b w:val="false"/>
                <w:sz w:val="26"/>
              </w:rPr>
              <w:t>Mau TT1.docx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 Thương binh và Xã hội huyện, Ủy ban nhân dân cấp xã, Sở Lao động - Thương binh và Xã hội Tp.Đà Nẵng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mai táng phí</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26/2005/PL-UBTVQH11 </w:t>
            </w:r>
          </w:p>
        </w:tc>
        <w:tc>
          <w:p/>
          <w:p>
            <w:pPr>
              <w:spacing w:after="0" w:before="0" w:lineRule="auto" w:line="276"/>
              <w:jc w:val="left"/>
            </w:pPr>
            <w:r>
              <w:rPr>
                <w:rFonts w:ascii="Times New Roman" w:hAnsi="Times New Roman" w:cs="Times New Roman" w:eastAsia="Times New Roman"/>
                <w:b w:val="false"/>
                <w:sz w:val="26"/>
              </w:rPr>
              <w:t>26/2005/PL-UBTVQH11 - Ưu đãi người có công với cách mạng</w:t>
            </w:r>
          </w:p>
        </w:tc>
        <w:tc>
          <w:p/>
          <w:p>
            <w:pPr>
              <w:spacing w:after="0" w:before="0" w:lineRule="auto" w:line="276"/>
              <w:jc w:val="left"/>
            </w:pPr>
            <w:r>
              <w:rPr>
                <w:rFonts w:ascii="Times New Roman" w:hAnsi="Times New Roman" w:cs="Times New Roman" w:eastAsia="Times New Roman"/>
                <w:b w:val="false"/>
                <w:sz w:val="26"/>
              </w:rPr>
              <w:t>29-06-2005</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số 05/2013/TT-BLĐTBXH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03/2020/TT-BLĐTBXH</w:t>
            </w:r>
          </w:p>
        </w:tc>
        <w:tc>
          <w:p/>
          <w:p>
            <w:pPr>
              <w:spacing w:after="0" w:before="0" w:lineRule="auto" w:line="276"/>
              <w:jc w:val="left"/>
            </w:pPr>
            <w:r>
              <w:rPr>
                <w:rFonts w:ascii="Times New Roman" w:hAnsi="Times New Roman" w:cs="Times New Roman" w:eastAsia="Times New Roman"/>
                <w:b w:val="false"/>
                <w:sz w:val="26"/>
              </w:rPr>
              <w:t>HƯỚNG DẪN THỰC HIỆN CHẾ ĐỘ, CHÍNH SÁCH ĐỐI VỚI CỰU CHIẾN BINH THEO QUY ĐỊNH TẠI NGHỊ ĐỊNH SỐ 157/2016/NĐ-CP NGÀY 24 THÁNG 11 NĂM 2016 CỦA CHÍNH PHỦ SỬA ĐỔI, BỔ SUNG NGHỊ ĐỊNH SỐ 150/2006/NĐ-CP NGÀY 12 THÁNG 12 NĂM 2006 QUY ĐỊNH CHI TIẾT VÀ HƯỚNG DẪN THI HÀNH MỘT SỐ ĐIỀU PHÁP LỆNH CỰU CHIẾN BINH</w:t>
            </w:r>
          </w:p>
        </w:tc>
        <w:tc>
          <w:p/>
          <w:p>
            <w:pPr>
              <w:spacing w:after="0" w:before="0" w:lineRule="auto" w:line="276"/>
              <w:jc w:val="left"/>
            </w:pPr>
            <w:r>
              <w:rPr>
                <w:rFonts w:ascii="Times New Roman" w:hAnsi="Times New Roman" w:cs="Times New Roman" w:eastAsia="Times New Roman"/>
                <w:b w:val="false"/>
                <w:sz w:val="26"/>
              </w:rPr>
              <w:t>25-02-2020</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2024-03-29T12:26:56Z</dcterms:created>
  <dc:creator>Apache POI</dc:creator>
</cp:coreProperties>
</file>